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2A" w:rsidRDefault="007C0A2A" w:rsidP="007C0A2A">
      <w:pPr>
        <w:ind w:left="-810" w:firstLine="810"/>
      </w:pPr>
    </w:p>
    <w:p w:rsidR="007C0A2A" w:rsidRDefault="004D6F63">
      <w:r>
        <w:t>DRAFTED AS COMING FROM THE PRIMARY CONTACT WITH THE LENDER</w:t>
      </w:r>
    </w:p>
    <w:p w:rsidR="00EF0CAC" w:rsidRDefault="00EF0CAC" w:rsidP="00E44A34"/>
    <w:p w:rsidR="00EF0CAC" w:rsidRDefault="00EF0CAC" w:rsidP="00E44A34"/>
    <w:p w:rsidR="00EF0CAC" w:rsidRDefault="00EF0CAC" w:rsidP="00E44A34"/>
    <w:p w:rsidR="00EF0CAC" w:rsidRDefault="00EF0CAC" w:rsidP="00E44A34"/>
    <w:p w:rsidR="00EF0CAC" w:rsidRDefault="00EF0CAC" w:rsidP="00E44A34">
      <w:r>
        <w:tab/>
      </w:r>
      <w:r>
        <w:tab/>
        <w:t>Re:</w:t>
      </w:r>
      <w:r>
        <w:tab/>
      </w:r>
    </w:p>
    <w:p w:rsidR="00EF0CAC" w:rsidRDefault="00EF0CAC" w:rsidP="00E44A34"/>
    <w:p w:rsidR="00EF0CAC" w:rsidRDefault="00EF0CAC" w:rsidP="00E44A34">
      <w:r>
        <w:t>Dear</w:t>
      </w:r>
    </w:p>
    <w:p w:rsidR="007C0A2A" w:rsidRDefault="007C0A2A" w:rsidP="007C0A2A">
      <w:pPr>
        <w:ind w:left="720"/>
      </w:pPr>
    </w:p>
    <w:p w:rsidR="00CD6AFA" w:rsidRDefault="00EF0CAC" w:rsidP="00EF0CAC">
      <w:r>
        <w:t xml:space="preserve">__________________ asked that I give you some background on WFG and on our reinsurance arrangements.  Like most insurers, we balance the reserve needs against single policy risk by reinsuring higher dollar risks </w:t>
      </w:r>
      <w:r w:rsidR="00F87447">
        <w:t>with</w:t>
      </w:r>
      <w:r>
        <w:t xml:space="preserve"> various syndicates at Lloyds of London and others. </w:t>
      </w:r>
      <w:r w:rsidR="00E44A34">
        <w:t xml:space="preserve">  Let me guide you through the manner in which we elect to manage that risk for the protection of </w:t>
      </w:r>
      <w:r w:rsidR="00D05A9D">
        <w:t xml:space="preserve">our company and </w:t>
      </w:r>
      <w:r w:rsidR="00E44A34">
        <w:t>our insureds.</w:t>
      </w:r>
    </w:p>
    <w:p w:rsidR="002A0DB9" w:rsidRPr="002A0DB9" w:rsidRDefault="002A0DB9" w:rsidP="00950ACE">
      <w:pPr>
        <w:rPr>
          <w:b/>
          <w:u w:val="single"/>
        </w:rPr>
      </w:pPr>
      <w:r w:rsidRPr="002A0DB9">
        <w:rPr>
          <w:b/>
          <w:u w:val="single"/>
        </w:rPr>
        <w:t>Primary Retention</w:t>
      </w:r>
    </w:p>
    <w:p w:rsidR="00CD6AFA" w:rsidRPr="00D05A9D" w:rsidRDefault="00CD6AFA" w:rsidP="00950ACE">
      <w:r w:rsidRPr="00D05A9D">
        <w:t xml:space="preserve">WFG retains the first </w:t>
      </w:r>
      <w:r w:rsidR="009469E8" w:rsidRPr="00D05A9D">
        <w:t>$5</w:t>
      </w:r>
      <w:r w:rsidRPr="00D05A9D">
        <w:t xml:space="preserve"> million of liability on each policy issued.  For your reference</w:t>
      </w:r>
      <w:r w:rsidR="00F87447" w:rsidRPr="00D05A9D">
        <w:t>,</w:t>
      </w:r>
      <w:r w:rsidRPr="00D05A9D">
        <w:t xml:space="preserve"> I have attached a link to </w:t>
      </w:r>
      <w:r w:rsidR="000A58F4" w:rsidRPr="00D05A9D">
        <w:t xml:space="preserve">WFG’s </w:t>
      </w:r>
      <w:hyperlink r:id="rId7" w:history="1">
        <w:r w:rsidR="00043326" w:rsidRPr="00D05A9D">
          <w:t>"State of the Company"</w:t>
        </w:r>
      </w:hyperlink>
      <w:r w:rsidR="000A58F4" w:rsidRPr="00D05A9D">
        <w:t xml:space="preserve"> report. </w:t>
      </w:r>
      <w:r w:rsidRPr="00D05A9D">
        <w:t xml:space="preserve">To hit the highlights, </w:t>
      </w:r>
      <w:r w:rsidR="00950ACE" w:rsidRPr="00D05A9D">
        <w:t>Williston Financial Group</w:t>
      </w:r>
      <w:r w:rsidRPr="00D05A9D">
        <w:t xml:space="preserve"> was</w:t>
      </w:r>
      <w:r>
        <w:t xml:space="preserve"> founded in January of 2010, </w:t>
      </w:r>
      <w:r w:rsidR="00950ACE">
        <w:t xml:space="preserve">and </w:t>
      </w:r>
      <w:r>
        <w:t>acquired two inactive title insurance companies</w:t>
      </w:r>
      <w:r w:rsidR="00950ACE">
        <w:t xml:space="preserve"> which were reactivated and merged to form WFG National Title Insurance Company.  S</w:t>
      </w:r>
      <w:r>
        <w:t xml:space="preserve">ince then </w:t>
      </w:r>
      <w:r w:rsidR="00950ACE">
        <w:t xml:space="preserve">the insurer has </w:t>
      </w:r>
      <w:r w:rsidRPr="00D05A9D">
        <w:t>built a national presence</w:t>
      </w:r>
      <w:r w:rsidR="00950ACE" w:rsidRPr="00D05A9D">
        <w:t xml:space="preserve">, becoming </w:t>
      </w:r>
      <w:r w:rsidRPr="00D05A9D">
        <w:t>licensed in 49 states and the District of Columbia; assembled a highly experienced underwriting team with deep commercial experience; and grown to be the 6th Largest Title insurer by premium volume with over $</w:t>
      </w:r>
      <w:r w:rsidR="00A22C80" w:rsidRPr="00D05A9D">
        <w:t>3</w:t>
      </w:r>
      <w:r w:rsidR="00043326" w:rsidRPr="00D05A9D">
        <w:t>00</w:t>
      </w:r>
      <w:r w:rsidRPr="00D05A9D">
        <w:t xml:space="preserve"> million of assets and</w:t>
      </w:r>
      <w:r w:rsidR="00950ACE" w:rsidRPr="00D05A9D">
        <w:t xml:space="preserve"> $</w:t>
      </w:r>
      <w:r w:rsidR="00B3272D">
        <w:t>9</w:t>
      </w:r>
      <w:r w:rsidR="009F3DD8">
        <w:t>8</w:t>
      </w:r>
      <w:r w:rsidR="00950ACE" w:rsidRPr="00D05A9D">
        <w:t xml:space="preserve"> million of surplus</w:t>
      </w:r>
      <w:r w:rsidRPr="00D05A9D">
        <w:t>.</w:t>
      </w:r>
      <w:r w:rsidR="00950ACE" w:rsidRPr="00D05A9D">
        <w:footnoteReference w:id="1"/>
      </w:r>
      <w:r w:rsidRPr="00D05A9D">
        <w:t xml:space="preserve"> </w:t>
      </w:r>
      <w:r w:rsidR="00950ACE" w:rsidRPr="00D05A9D">
        <w:t xml:space="preserve">  WFG National Title Insurance Company is rated A’ (unsurpassed) by </w:t>
      </w:r>
      <w:proofErr w:type="spellStart"/>
      <w:r w:rsidR="00950ACE" w:rsidRPr="00D05A9D">
        <w:t>Demotech</w:t>
      </w:r>
      <w:proofErr w:type="spellEnd"/>
      <w:r w:rsidR="00995975" w:rsidRPr="00D05A9D">
        <w:t xml:space="preserve"> and has earned a </w:t>
      </w:r>
      <w:proofErr w:type="spellStart"/>
      <w:r w:rsidR="00995975" w:rsidRPr="00D05A9D">
        <w:t>Demotech</w:t>
      </w:r>
      <w:proofErr w:type="spellEnd"/>
      <w:r w:rsidR="00995975" w:rsidRPr="00D05A9D">
        <w:t xml:space="preserve"> “Highly Recommended” </w:t>
      </w:r>
      <w:r w:rsidR="008D309C" w:rsidRPr="00D05A9D">
        <w:t xml:space="preserve">rating </w:t>
      </w:r>
      <w:r w:rsidR="00995975" w:rsidRPr="00D05A9D">
        <w:t>for Commercial Real Estate transactions</w:t>
      </w:r>
      <w:r w:rsidR="00950ACE">
        <w:t>.</w:t>
      </w:r>
      <w:r w:rsidR="00F87447">
        <w:t xml:space="preserve">  A $5 million reinsurance attachment point is very conservative for a company of our size.</w:t>
      </w:r>
    </w:p>
    <w:p w:rsidR="002A0DB9" w:rsidRPr="002A0DB9" w:rsidRDefault="002A0DB9" w:rsidP="00EF0CAC">
      <w:pPr>
        <w:rPr>
          <w:b/>
          <w:u w:val="single"/>
        </w:rPr>
      </w:pPr>
      <w:r w:rsidRPr="002A0DB9">
        <w:rPr>
          <w:b/>
          <w:u w:val="single"/>
        </w:rPr>
        <w:t xml:space="preserve">Policy Liabilities </w:t>
      </w:r>
      <w:r w:rsidR="009469E8">
        <w:rPr>
          <w:b/>
          <w:u w:val="single"/>
        </w:rPr>
        <w:t>$5</w:t>
      </w:r>
      <w:r w:rsidR="00995975">
        <w:rPr>
          <w:b/>
          <w:u w:val="single"/>
        </w:rPr>
        <w:t>-3</w:t>
      </w:r>
      <w:r w:rsidRPr="002A0DB9">
        <w:rPr>
          <w:b/>
          <w:u w:val="single"/>
        </w:rPr>
        <w:t>0 Million</w:t>
      </w:r>
    </w:p>
    <w:p w:rsidR="00EF0CAC" w:rsidRDefault="00950ACE" w:rsidP="00EF0CAC">
      <w:r>
        <w:t xml:space="preserve">All policy liabilities from </w:t>
      </w:r>
      <w:r w:rsidR="009469E8">
        <w:t>$5</w:t>
      </w:r>
      <w:r>
        <w:t xml:space="preserve"> million to $</w:t>
      </w:r>
      <w:r w:rsidR="00995975">
        <w:t>3</w:t>
      </w:r>
      <w:r>
        <w:t>0 million are automatically reinsured</w:t>
      </w:r>
      <w:r w:rsidR="00995975">
        <w:t xml:space="preserve"> with highly rated reinsurers.</w:t>
      </w:r>
      <w:r>
        <w:t xml:space="preserve">  Here are the participants in our reinsurance</w:t>
      </w:r>
      <w:r w:rsidR="009205D9">
        <w:t xml:space="preserve">, </w:t>
      </w:r>
      <w:r>
        <w:t>their A.M. Best ratings</w:t>
      </w:r>
      <w:r w:rsidR="009205D9">
        <w:t xml:space="preserve"> and the capital/surplus of each company group</w:t>
      </w:r>
      <w:r>
        <w:t xml:space="preserve">. </w:t>
      </w:r>
    </w:p>
    <w:p w:rsidR="00B3272D" w:rsidRDefault="00EF0CAC" w:rsidP="00B3272D">
      <w:pPr>
        <w:keepNext/>
        <w:keepLines/>
      </w:pPr>
      <w:r>
        <w:lastRenderedPageBreak/>
        <w:t xml:space="preserve">The </w:t>
      </w:r>
      <w:r w:rsidR="00F87447">
        <w:t xml:space="preserve">companies </w:t>
      </w:r>
      <w:r>
        <w:t xml:space="preserve">backing our reinsurance have </w:t>
      </w:r>
      <w:r w:rsidR="00950ACE">
        <w:t>many times</w:t>
      </w:r>
      <w:r>
        <w:t xml:space="preserve"> the available </w:t>
      </w:r>
      <w:r w:rsidR="00950ACE">
        <w:t xml:space="preserve">surplus and </w:t>
      </w:r>
      <w:r>
        <w:t xml:space="preserve">assets of the </w:t>
      </w:r>
      <w:r w:rsidRPr="00BA40FF">
        <w:rPr>
          <w:u w:val="single"/>
        </w:rPr>
        <w:t>entire</w:t>
      </w:r>
      <w:r>
        <w:t xml:space="preserve"> US title insurance industry</w:t>
      </w:r>
    </w:p>
    <w:tbl>
      <w:tblPr>
        <w:tblW w:w="6215" w:type="dxa"/>
        <w:tblInd w:w="-5" w:type="dxa"/>
        <w:tblBorders>
          <w:left w:val="single" w:sz="4" w:space="0" w:color="auto"/>
          <w:right w:val="single" w:sz="4" w:space="0" w:color="auto"/>
        </w:tblBorders>
        <w:tblLook w:val="04A0" w:firstRow="1" w:lastRow="0" w:firstColumn="1" w:lastColumn="0" w:noHBand="0" w:noVBand="1"/>
      </w:tblPr>
      <w:tblGrid>
        <w:gridCol w:w="3060"/>
        <w:gridCol w:w="1530"/>
        <w:gridCol w:w="1696"/>
      </w:tblGrid>
      <w:tr w:rsidR="00B3272D" w:rsidRPr="00EC3C78" w:rsidTr="00B3272D">
        <w:trPr>
          <w:trHeight w:val="144"/>
        </w:trPr>
        <w:tc>
          <w:tcPr>
            <w:tcW w:w="306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Reinsurer / Syndicate ()</w:t>
            </w:r>
          </w:p>
        </w:tc>
        <w:tc>
          <w:tcPr>
            <w:tcW w:w="153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 xml:space="preserve">AM Best </w:t>
            </w:r>
          </w:p>
        </w:tc>
        <w:tc>
          <w:tcPr>
            <w:tcW w:w="1625"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Pr>
                <w:b/>
                <w:color w:val="000000"/>
              </w:rPr>
              <w:t>Group</w:t>
            </w:r>
            <w:r>
              <w:rPr>
                <w:b/>
                <w:color w:val="000000"/>
              </w:rPr>
              <w:br/>
            </w:r>
            <w:r w:rsidRPr="00EC3C78">
              <w:rPr>
                <w:b/>
                <w:color w:val="000000"/>
              </w:rPr>
              <w:t>Surplus/Capital</w:t>
            </w:r>
            <w:r w:rsidR="009205D9">
              <w:rPr>
                <w:rStyle w:val="FootnoteReference"/>
                <w:b/>
                <w:color w:val="000000"/>
              </w:rPr>
              <w:footnoteReference w:id="2"/>
            </w:r>
            <w:r w:rsidRPr="00EC3C78">
              <w:rPr>
                <w:b/>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Beazley (623/2623)</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2.9B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AXA XL</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Ren Re (1458)</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Chaucer (1084)</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13.23B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Brit (2987/8)</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20.3B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Specialty (</w:t>
            </w:r>
            <w:proofErr w:type="spellStart"/>
            <w:r w:rsidRPr="00EC3C78">
              <w:rPr>
                <w:color w:val="000000"/>
              </w:rPr>
              <w:t>Bda</w:t>
            </w:r>
            <w:proofErr w:type="spellEnd"/>
            <w:r w:rsidRPr="00EC3C78">
              <w:rPr>
                <w:color w:val="000000"/>
              </w:rPr>
              <w:t>)</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21.3B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B34100">
              <w:t>Connecticut Attorneys Title Insurance Company</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B++ Good</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$45</w:t>
            </w:r>
            <w:r>
              <w:rPr>
                <w:color w:val="000000"/>
              </w:rPr>
              <w:t>M</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(4472)</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Pr>
                <w:color w:val="000000"/>
              </w:rPr>
              <w:t>$21.3B</w:t>
            </w:r>
            <w:r w:rsidRPr="00EC3C78">
              <w:rPr>
                <w:color w:val="000000"/>
              </w:rPr>
              <w:t xml:space="preserve"> </w:t>
            </w:r>
          </w:p>
        </w:tc>
      </w:tr>
      <w:tr w:rsidR="00B3272D" w:rsidRPr="00EC3C78" w:rsidTr="009F3DD8">
        <w:trPr>
          <w:trHeight w:val="144"/>
        </w:trPr>
        <w:tc>
          <w:tcPr>
            <w:tcW w:w="3060" w:type="dxa"/>
            <w:tcBorders>
              <w:bottom w:val="nil"/>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Greenlight Re</w:t>
            </w:r>
          </w:p>
        </w:tc>
        <w:tc>
          <w:tcPr>
            <w:tcW w:w="1530" w:type="dxa"/>
            <w:tcBorders>
              <w:bottom w:val="nil"/>
            </w:tcBorders>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tcBorders>
              <w:bottom w:val="nil"/>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503M</w:t>
            </w:r>
            <w:r w:rsidRPr="00EC3C78">
              <w:rPr>
                <w:color w:val="000000"/>
              </w:rPr>
              <w:t xml:space="preserve"> </w:t>
            </w:r>
          </w:p>
        </w:tc>
      </w:tr>
      <w:tr w:rsidR="00B3272D" w:rsidRPr="00EC3C78" w:rsidTr="009F3DD8">
        <w:trPr>
          <w:trHeight w:val="144"/>
        </w:trPr>
        <w:tc>
          <w:tcPr>
            <w:tcW w:w="306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Axis Re</w:t>
            </w:r>
          </w:p>
        </w:tc>
        <w:tc>
          <w:tcPr>
            <w:tcW w:w="153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center"/>
              <w:rPr>
                <w:color w:val="000000"/>
              </w:rPr>
            </w:pPr>
            <w:proofErr w:type="spellStart"/>
            <w:r w:rsidRPr="00EC3C78">
              <w:rPr>
                <w:color w:val="000000"/>
              </w:rPr>
              <w:t>A</w:t>
            </w:r>
            <w:proofErr w:type="spellEnd"/>
            <w:r w:rsidRPr="00EC3C78">
              <w:rPr>
                <w:color w:val="000000"/>
              </w:rPr>
              <w:t xml:space="preserve"> Excellent</w:t>
            </w:r>
          </w:p>
        </w:tc>
        <w:tc>
          <w:tcPr>
            <w:tcW w:w="1625"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4.6B</w:t>
            </w:r>
            <w:r w:rsidRPr="00EC3C78">
              <w:rPr>
                <w:color w:val="000000"/>
              </w:rPr>
              <w:t xml:space="preserve"> </w:t>
            </w:r>
          </w:p>
        </w:tc>
      </w:tr>
    </w:tbl>
    <w:p w:rsidR="00B3272D" w:rsidRPr="00D46696" w:rsidRDefault="00B3272D" w:rsidP="00B3272D">
      <w:pPr>
        <w:keepNext/>
        <w:keepLines/>
        <w:rPr>
          <w:rFonts w:ascii="Times New Roman" w:hAnsi="Times New Roman" w:cs="Times New Roman"/>
          <w:sz w:val="24"/>
          <w:szCs w:val="24"/>
        </w:rPr>
      </w:pPr>
    </w:p>
    <w:p w:rsidR="002A0DB9" w:rsidRDefault="002A0DB9" w:rsidP="00EF0CAC">
      <w:r>
        <w:t xml:space="preserve">Copies of our “reinsurance treaties” with these reinsurers are available </w:t>
      </w:r>
      <w:r w:rsidR="00E44A34">
        <w:t>if you would like to review them</w:t>
      </w:r>
      <w:r>
        <w:t xml:space="preserve">. </w:t>
      </w:r>
    </w:p>
    <w:p w:rsidR="002A0DB9" w:rsidRPr="002A0DB9" w:rsidRDefault="002A0DB9" w:rsidP="00EF0CAC">
      <w:pPr>
        <w:rPr>
          <w:b/>
          <w:u w:val="single"/>
        </w:rPr>
      </w:pPr>
      <w:r w:rsidRPr="002A0DB9">
        <w:rPr>
          <w:b/>
          <w:u w:val="single"/>
        </w:rPr>
        <w:t>Policy Liabilities &gt; $</w:t>
      </w:r>
      <w:r w:rsidR="00995975">
        <w:rPr>
          <w:b/>
          <w:u w:val="single"/>
        </w:rPr>
        <w:t>3</w:t>
      </w:r>
      <w:r w:rsidRPr="002A0DB9">
        <w:rPr>
          <w:b/>
          <w:u w:val="single"/>
        </w:rPr>
        <w:t>0 Million</w:t>
      </w:r>
    </w:p>
    <w:p w:rsidR="002A0DB9" w:rsidRDefault="002A0DB9" w:rsidP="00EF0CAC">
      <w:r>
        <w:t>Policy liabilities above $</w:t>
      </w:r>
      <w:r w:rsidR="00995975">
        <w:t>3</w:t>
      </w:r>
      <w:r>
        <w:t xml:space="preserve">0 million are reinsured on a facultative basis with </w:t>
      </w:r>
      <w:r w:rsidR="00B3272D">
        <w:t>Lloyds of London Chaucer Syndicate (1084)</w:t>
      </w:r>
      <w:r>
        <w:t xml:space="preserve">.  </w:t>
      </w:r>
    </w:p>
    <w:p w:rsidR="00EF0CAC" w:rsidRDefault="00EF0CAC" w:rsidP="00EF0CAC">
      <w:r>
        <w:t>Part of your evaluation of us is, correctly, the</w:t>
      </w:r>
      <w:r w:rsidR="002A0DB9">
        <w:t xml:space="preserve"> equity and reserves available both on a primary and a reinsurance basis.  </w:t>
      </w:r>
      <w:r>
        <w:t xml:space="preserve"> As you know, equity invested in a title insurer or for that matter in any insurer, quickly becomes “locked in capital.” Any distributions can be limited at the whim of state insurance regulators.  Even though our parent company, Golden Gate Capital </w:t>
      </w:r>
      <w:hyperlink r:id="rId8" w:history="1">
        <w:r>
          <w:rPr>
            <w:rStyle w:val="Hyperlink"/>
          </w:rPr>
          <w:t>http://www.goldengatecap.com/</w:t>
        </w:r>
      </w:hyperlink>
      <w:r>
        <w:t xml:space="preserve"> is quite substantial and has greater equity and annual revenues than Fidelity and First American together, we’ve made the conscious decision not to over-capitalize the insurance company.  Instead WFG uses </w:t>
      </w:r>
      <w:r w:rsidR="00F87447">
        <w:t>international</w:t>
      </w:r>
      <w:r>
        <w:t xml:space="preserve"> reinsurance capital to provide </w:t>
      </w:r>
      <w:r w:rsidR="00043326">
        <w:t xml:space="preserve">solid </w:t>
      </w:r>
      <w:r>
        <w:t xml:space="preserve">protection of our insureds and of our future business.  </w:t>
      </w:r>
    </w:p>
    <w:p w:rsidR="00E44A34" w:rsidRPr="000A58F4" w:rsidRDefault="00EF0CAC" w:rsidP="00EF0CAC">
      <w:pPr>
        <w:rPr>
          <w:rFonts w:cstheme="minorHAnsi"/>
        </w:rPr>
      </w:pPr>
      <w:r>
        <w:t>The second part of your analysis should be an inquiry into the relationship of the available assets in a</w:t>
      </w:r>
      <w:r w:rsidR="00E44A34">
        <w:t>n insurer</w:t>
      </w:r>
      <w:r>
        <w:t xml:space="preserve"> to the liabilities incu</w:t>
      </w:r>
      <w:r w:rsidR="002A0DB9">
        <w:t xml:space="preserve">rred and their claims history.  </w:t>
      </w:r>
      <w:r>
        <w:t xml:space="preserve">Simply put, our bigger competitors sell many more policies and have correspondingly higher liabilities under those policies than does WFG. </w:t>
      </w:r>
      <w:r w:rsidR="002A0DB9">
        <w:t xml:space="preserve"> </w:t>
      </w:r>
      <w:r>
        <w:t xml:space="preserve">So the </w:t>
      </w:r>
      <w:r w:rsidRPr="000A58F4">
        <w:rPr>
          <w:rFonts w:cstheme="minorHAnsi"/>
        </w:rPr>
        <w:t>second analysis we’d suggest is the claims paying coverage.  You’ll find that on page 2</w:t>
      </w:r>
      <w:r w:rsidR="00043326">
        <w:rPr>
          <w:rFonts w:cstheme="minorHAnsi"/>
        </w:rPr>
        <w:t>3</w:t>
      </w:r>
      <w:r w:rsidRPr="000A58F4">
        <w:rPr>
          <w:rFonts w:cstheme="minorHAnsi"/>
        </w:rPr>
        <w:t xml:space="preserve"> of </w:t>
      </w:r>
      <w:r w:rsidR="00A22C80" w:rsidRPr="000A58F4">
        <w:rPr>
          <w:rFonts w:cstheme="minorHAnsi"/>
        </w:rPr>
        <w:t xml:space="preserve">WFG’s </w:t>
      </w:r>
      <w:hyperlink r:id="rId9" w:history="1">
        <w:r w:rsidR="00A22C80">
          <w:rPr>
            <w:rStyle w:val="Hyperlink"/>
            <w:rFonts w:cstheme="minorHAnsi"/>
          </w:rPr>
          <w:t>"State of the Company"</w:t>
        </w:r>
      </w:hyperlink>
      <w:bookmarkStart w:id="0" w:name="_GoBack"/>
      <w:bookmarkEnd w:id="0"/>
      <w:r w:rsidR="000A58F4" w:rsidRPr="000A58F4">
        <w:rPr>
          <w:rFonts w:cstheme="minorHAnsi"/>
        </w:rPr>
        <w:t xml:space="preserve"> </w:t>
      </w:r>
      <w:r w:rsidRPr="000A58F4">
        <w:rPr>
          <w:rFonts w:cstheme="minorHAnsi"/>
        </w:rPr>
        <w:t>report</w:t>
      </w:r>
      <w:r w:rsidR="00E44A34" w:rsidRPr="000A58F4">
        <w:rPr>
          <w:rFonts w:cstheme="minorHAnsi"/>
        </w:rPr>
        <w:t>.</w:t>
      </w:r>
    </w:p>
    <w:p w:rsidR="00EF0CAC" w:rsidRDefault="00E44A34" w:rsidP="00EF0CAC">
      <w:r>
        <w:lastRenderedPageBreak/>
        <w:t xml:space="preserve">Under both of those analyses, we believe that WFG provides solid protection for our insureds – regardless of the </w:t>
      </w:r>
      <w:r w:rsidR="00F87447">
        <w:t>individual</w:t>
      </w:r>
      <w:r>
        <w:t xml:space="preserve"> policy size. </w:t>
      </w:r>
    </w:p>
    <w:p w:rsidR="007C0A2A" w:rsidRDefault="00EF0CAC" w:rsidP="00E44A34">
      <w:r>
        <w:t>If you have any questions or would like to discuss any of this in greater detail, please feel free to give me a call</w:t>
      </w:r>
      <w:r w:rsidR="00E44A34">
        <w:t xml:space="preserve">, or to contact </w:t>
      </w:r>
      <w:r w:rsidR="007C0A2A">
        <w:t xml:space="preserve">Alan Fields, </w:t>
      </w:r>
      <w:r w:rsidR="00E44A34">
        <w:t xml:space="preserve">our </w:t>
      </w:r>
      <w:r w:rsidR="007C0A2A">
        <w:t xml:space="preserve">SVP – Director of Underwriting Services at </w:t>
      </w:r>
      <w:hyperlink r:id="rId10" w:history="1">
        <w:r w:rsidR="007C0A2A" w:rsidRPr="00B179A1">
          <w:rPr>
            <w:rStyle w:val="Hyperlink"/>
          </w:rPr>
          <w:t>afields@wfgnationaltitle.com</w:t>
        </w:r>
      </w:hyperlink>
      <w:r w:rsidR="007C0A2A">
        <w:t xml:space="preserve"> </w:t>
      </w:r>
      <w:r w:rsidR="00E44A34">
        <w:t xml:space="preserve">or </w:t>
      </w:r>
      <w:r w:rsidR="003D03DB">
        <w:t>813-421-3821</w:t>
      </w:r>
      <w:r w:rsidR="00E44A34">
        <w:t xml:space="preserve">. </w:t>
      </w:r>
    </w:p>
    <w:p w:rsidR="00E44A34" w:rsidRDefault="00E44A34" w:rsidP="00E44A34"/>
    <w:p w:rsidR="00E44A34" w:rsidRDefault="008D309C" w:rsidP="00E44A34">
      <w:r>
        <w:rPr>
          <w:noProof/>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-50165</wp:posOffset>
            </wp:positionV>
            <wp:extent cx="203835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 Signature.jpg"/>
                    <pic:cNvPicPr/>
                  </pic:nvPicPr>
                  <pic:blipFill rotWithShape="1">
                    <a:blip r:embed="rId11" cstate="print">
                      <a:extLst>
                        <a:ext uri="{28A0092B-C50C-407E-A947-70E740481C1C}">
                          <a14:useLocalDpi xmlns:a14="http://schemas.microsoft.com/office/drawing/2010/main" val="0"/>
                        </a:ext>
                      </a:extLst>
                    </a:blip>
                    <a:srcRect l="26764" t="17708" r="38942" b="72881"/>
                    <a:stretch/>
                  </pic:blipFill>
                  <pic:spPr bwMode="auto">
                    <a:xfrm>
                      <a:off x="0" y="0"/>
                      <a:ext cx="203835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4A34">
        <w:tab/>
      </w:r>
      <w:r w:rsidR="00E44A34">
        <w:tab/>
      </w:r>
      <w:r w:rsidR="00E44A34">
        <w:tab/>
      </w:r>
      <w:r w:rsidR="00E44A34">
        <w:tab/>
      </w:r>
      <w:r w:rsidR="00E44A34">
        <w:tab/>
      </w:r>
      <w:r w:rsidR="00E44A34">
        <w:tab/>
        <w:t>Sincerely,</w:t>
      </w:r>
    </w:p>
    <w:p w:rsidR="00E44A34" w:rsidRDefault="00E44A34" w:rsidP="00E44A34"/>
    <w:p w:rsidR="00E44A34" w:rsidRDefault="00E44A34" w:rsidP="00E44A34">
      <w:r>
        <w:tab/>
      </w:r>
      <w:r>
        <w:tab/>
      </w:r>
      <w:r>
        <w:tab/>
      </w:r>
      <w:r>
        <w:tab/>
      </w:r>
      <w:r>
        <w:tab/>
      </w:r>
      <w:r>
        <w:tab/>
      </w:r>
      <w:r w:rsidR="003C3DAB">
        <w:t>Alan B. Fields</w:t>
      </w:r>
    </w:p>
    <w:p w:rsidR="00E44A34" w:rsidRDefault="00E44A34" w:rsidP="00E44A34"/>
    <w:sectPr w:rsidR="00E44A34" w:rsidSect="00E44A34">
      <w:headerReference w:type="default" r:id="rId12"/>
      <w:footerReference w:type="default" r:id="rId13"/>
      <w:headerReference w:type="first" r:id="rId14"/>
      <w:footerReference w:type="first" r:id="rId15"/>
      <w:pgSz w:w="12240" w:h="15840"/>
      <w:pgMar w:top="1440" w:right="1440" w:bottom="1440" w:left="1440" w:header="450" w:footer="3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B7" w:rsidRDefault="00EA7EB7" w:rsidP="00950ACE">
      <w:pPr>
        <w:spacing w:after="0" w:line="240" w:lineRule="auto"/>
      </w:pPr>
      <w:r>
        <w:separator/>
      </w:r>
    </w:p>
  </w:endnote>
  <w:endnote w:type="continuationSeparator" w:id="0">
    <w:p w:rsidR="00EA7EB7" w:rsidRDefault="00EA7EB7" w:rsidP="0095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34" w:rsidRDefault="000A58F4" w:rsidP="00E44A34">
    <w:pPr>
      <w:pStyle w:val="Footer"/>
      <w:jc w:val="center"/>
      <w:rPr>
        <w:rFonts w:ascii="Franklin Gothic Medium" w:hAnsi="Franklin Gothic Medium"/>
        <w:color w:val="996600"/>
      </w:rPr>
    </w:pPr>
    <w:r>
      <w:rPr>
        <w:rFonts w:ascii="Franklin Gothic Medium" w:hAnsi="Franklin Gothic Medium"/>
        <w:color w:val="996600"/>
      </w:rPr>
      <w:t>500 Technology Drive, Suite 100</w:t>
    </w:r>
    <w:r w:rsidR="00E44A34">
      <w:rPr>
        <w:rFonts w:ascii="Franklin Gothic Medium" w:hAnsi="Franklin Gothic Medium"/>
        <w:color w:val="996600"/>
      </w:rPr>
      <w:t>, Irvine CA 9261</w:t>
    </w:r>
    <w:r>
      <w:rPr>
        <w:rFonts w:ascii="Franklin Gothic Medium" w:hAnsi="Franklin Gothic Medium"/>
        <w:color w:val="996600"/>
      </w:rPr>
      <w:t>8</w:t>
    </w:r>
  </w:p>
  <w:p w:rsidR="00E44A34" w:rsidRDefault="00E44A34" w:rsidP="00E44A34">
    <w:pPr>
      <w:pStyle w:val="Footer"/>
      <w:jc w:val="center"/>
      <w:rPr>
        <w:rFonts w:ascii="Franklin Gothic Medium" w:hAnsi="Franklin Gothic Medium"/>
        <w:color w:val="996600"/>
      </w:rPr>
    </w:pPr>
    <w:r>
      <w:rPr>
        <w:rFonts w:ascii="Franklin Gothic Medium" w:hAnsi="Franklin Gothic Medium"/>
        <w:color w:val="996600"/>
      </w:rPr>
      <w:t>(949) 430-3774</w:t>
    </w:r>
  </w:p>
  <w:p w:rsidR="00E44A34" w:rsidRPr="00E44A34" w:rsidRDefault="00E44A34" w:rsidP="00E44A34">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500 Technology Drive, Suite 100, Irvine CA 92618</w:t>
    </w:r>
  </w:p>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(949) 430-3774</w:t>
    </w:r>
  </w:p>
  <w:p w:rsidR="00C46076" w:rsidRPr="00E44A34" w:rsidRDefault="00C46076" w:rsidP="00C46076">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p w:rsidR="00C46076" w:rsidRDefault="00C46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B7" w:rsidRDefault="00EA7EB7" w:rsidP="00950ACE">
      <w:pPr>
        <w:spacing w:after="0" w:line="240" w:lineRule="auto"/>
      </w:pPr>
      <w:r>
        <w:separator/>
      </w:r>
    </w:p>
  </w:footnote>
  <w:footnote w:type="continuationSeparator" w:id="0">
    <w:p w:rsidR="00EA7EB7" w:rsidRDefault="00EA7EB7" w:rsidP="00950ACE">
      <w:pPr>
        <w:spacing w:after="0" w:line="240" w:lineRule="auto"/>
      </w:pPr>
      <w:r>
        <w:continuationSeparator/>
      </w:r>
    </w:p>
  </w:footnote>
  <w:footnote w:id="1">
    <w:p w:rsidR="00950ACE" w:rsidRDefault="00950ACE">
      <w:pPr>
        <w:pStyle w:val="FootnoteText"/>
      </w:pPr>
      <w:r>
        <w:rPr>
          <w:rStyle w:val="FootnoteReference"/>
        </w:rPr>
        <w:footnoteRef/>
      </w:r>
      <w:r>
        <w:t xml:space="preserve"> </w:t>
      </w:r>
      <w:r w:rsidR="009F3DD8">
        <w:t>9-30</w:t>
      </w:r>
      <w:r w:rsidR="00043326">
        <w:t>-202</w:t>
      </w:r>
      <w:r w:rsidR="00B3272D">
        <w:t>3</w:t>
      </w:r>
      <w:r>
        <w:t xml:space="preserve"> NAIC </w:t>
      </w:r>
      <w:r w:rsidR="0015259D">
        <w:t>annual report</w:t>
      </w:r>
    </w:p>
  </w:footnote>
  <w:footnote w:id="2">
    <w:p w:rsidR="009205D9" w:rsidRDefault="009205D9">
      <w:pPr>
        <w:pStyle w:val="FootnoteText"/>
      </w:pPr>
      <w:r>
        <w:rPr>
          <w:rStyle w:val="FootnoteReference"/>
        </w:rPr>
        <w:footnoteRef/>
      </w:r>
      <w:r>
        <w:t xml:space="preserve"> </w:t>
      </w:r>
      <w:r w:rsidRPr="009205D9">
        <w:t xml:space="preserve">Standard and </w:t>
      </w:r>
      <w:proofErr w:type="spellStart"/>
      <w:r w:rsidRPr="009205D9">
        <w:t>Poors</w:t>
      </w:r>
      <w:proofErr w:type="spellEnd"/>
      <w:r w:rsidRPr="009205D9">
        <w:t xml:space="preserve"> Global IQ Pro.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34" w:rsidRDefault="00E44A34" w:rsidP="00E44A34">
    <w:pPr>
      <w:pStyle w:val="Header"/>
      <w:rPr>
        <w:noProof/>
        <w:szCs w:val="40"/>
      </w:rPr>
    </w:pPr>
  </w:p>
  <w:p w:rsidR="00E44A34" w:rsidRDefault="003C58C3" w:rsidP="00E44A34">
    <w:pPr>
      <w:pStyle w:val="Header"/>
      <w:rPr>
        <w:noProof/>
        <w:szCs w:val="40"/>
      </w:rPr>
    </w:pPr>
    <w:r>
      <w:rPr>
        <w:noProof/>
        <w:szCs w:val="40"/>
      </w:rPr>
      <w:t xml:space="preserve">January </w:t>
    </w:r>
    <w:r w:rsidR="00B3272D">
      <w:rPr>
        <w:noProof/>
        <w:szCs w:val="40"/>
      </w:rPr>
      <w:t>9</w:t>
    </w:r>
    <w:r>
      <w:rPr>
        <w:noProof/>
        <w:szCs w:val="40"/>
      </w:rPr>
      <w:t>, 202</w:t>
    </w:r>
    <w:r w:rsidR="00B3272D">
      <w:rPr>
        <w:noProof/>
        <w:szCs w:val="40"/>
      </w:rPr>
      <w:t>4</w:t>
    </w:r>
  </w:p>
  <w:p w:rsidR="00E44A34" w:rsidRDefault="00E44A34" w:rsidP="00E44A34">
    <w:pPr>
      <w:pStyle w:val="Header"/>
    </w:pPr>
    <w:r>
      <w:rPr>
        <w:noProof/>
        <w:szCs w:val="40"/>
      </w:rPr>
      <w:t xml:space="preserve">Page </w:t>
    </w:r>
    <w:r w:rsidRPr="00E44A34">
      <w:rPr>
        <w:noProof/>
        <w:szCs w:val="40"/>
      </w:rPr>
      <w:fldChar w:fldCharType="begin"/>
    </w:r>
    <w:r w:rsidRPr="00E44A34">
      <w:rPr>
        <w:noProof/>
        <w:szCs w:val="40"/>
      </w:rPr>
      <w:instrText xml:space="preserve"> PAGE   \* MERGEFORMAT </w:instrText>
    </w:r>
    <w:r w:rsidRPr="00E44A34">
      <w:rPr>
        <w:noProof/>
        <w:szCs w:val="40"/>
      </w:rPr>
      <w:fldChar w:fldCharType="separate"/>
    </w:r>
    <w:r w:rsidR="00BF4EA0">
      <w:rPr>
        <w:noProof/>
        <w:szCs w:val="40"/>
      </w:rPr>
      <w:t>3</w:t>
    </w:r>
    <w:r w:rsidRPr="00E44A34">
      <w:rPr>
        <w:noProof/>
        <w:szCs w:val="40"/>
      </w:rPr>
      <w:fldChar w:fldCharType="end"/>
    </w:r>
  </w:p>
  <w:p w:rsidR="00E44A34" w:rsidRDefault="00E44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34" w:rsidRDefault="00E44A34" w:rsidP="00E44A34">
    <w:pPr>
      <w:pStyle w:val="Header"/>
      <w:jc w:val="center"/>
    </w:pPr>
    <w:r>
      <w:rPr>
        <w:noProof/>
        <w:szCs w:val="40"/>
      </w:rPr>
      <w:drawing>
        <wp:inline distT="0" distB="0" distL="0" distR="0" wp14:anchorId="3D1C0C7E" wp14:editId="78180FAB">
          <wp:extent cx="3800475" cy="904875"/>
          <wp:effectExtent l="19050" t="0" r="9525" b="0"/>
          <wp:docPr id="12" name="Picture 12" descr="C:\Users\Erin\Desktop\WFG National Title Insurance logo only-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Desktop\WFG National Title Insurance logo only-Final 1.jpg"/>
                  <pic:cNvPicPr>
                    <a:picLocks noChangeAspect="1" noChangeArrowheads="1"/>
                  </pic:cNvPicPr>
                </pic:nvPicPr>
                <pic:blipFill>
                  <a:blip r:embed="rId1"/>
                  <a:srcRect/>
                  <a:stretch>
                    <a:fillRect/>
                  </a:stretch>
                </pic:blipFill>
                <pic:spPr bwMode="auto">
                  <a:xfrm>
                    <a:off x="0" y="0"/>
                    <a:ext cx="3800475" cy="9048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2A"/>
    <w:rsid w:val="00037ECC"/>
    <w:rsid w:val="0004017D"/>
    <w:rsid w:val="00043326"/>
    <w:rsid w:val="000A58F4"/>
    <w:rsid w:val="0015259D"/>
    <w:rsid w:val="002217CC"/>
    <w:rsid w:val="002A0DB9"/>
    <w:rsid w:val="003664E2"/>
    <w:rsid w:val="003C3DAB"/>
    <w:rsid w:val="003C58C3"/>
    <w:rsid w:val="003D03DB"/>
    <w:rsid w:val="003D2E4A"/>
    <w:rsid w:val="003F1D5E"/>
    <w:rsid w:val="004870FD"/>
    <w:rsid w:val="004D6F63"/>
    <w:rsid w:val="005D09CE"/>
    <w:rsid w:val="00785CF3"/>
    <w:rsid w:val="007C0A2A"/>
    <w:rsid w:val="00815942"/>
    <w:rsid w:val="008A1A69"/>
    <w:rsid w:val="008D309C"/>
    <w:rsid w:val="009205D9"/>
    <w:rsid w:val="009469E8"/>
    <w:rsid w:val="00950ACE"/>
    <w:rsid w:val="00972594"/>
    <w:rsid w:val="00995975"/>
    <w:rsid w:val="009C55E6"/>
    <w:rsid w:val="009F3DD8"/>
    <w:rsid w:val="00A22C80"/>
    <w:rsid w:val="00B3272D"/>
    <w:rsid w:val="00BF4EA0"/>
    <w:rsid w:val="00C46076"/>
    <w:rsid w:val="00C764D4"/>
    <w:rsid w:val="00C9140B"/>
    <w:rsid w:val="00CD6AFA"/>
    <w:rsid w:val="00D05A9D"/>
    <w:rsid w:val="00D17996"/>
    <w:rsid w:val="00D654DF"/>
    <w:rsid w:val="00DE4657"/>
    <w:rsid w:val="00DF229F"/>
    <w:rsid w:val="00E16799"/>
    <w:rsid w:val="00E44A34"/>
    <w:rsid w:val="00E82424"/>
    <w:rsid w:val="00E87785"/>
    <w:rsid w:val="00EA7EB7"/>
    <w:rsid w:val="00EC0914"/>
    <w:rsid w:val="00EC3C78"/>
    <w:rsid w:val="00EC7551"/>
    <w:rsid w:val="00EF0CAC"/>
    <w:rsid w:val="00F87447"/>
    <w:rsid w:val="00FC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BD999A-3142-4231-B7C4-FDE1403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2A"/>
    <w:rPr>
      <w:color w:val="0563C1" w:themeColor="hyperlink"/>
      <w:u w:val="single"/>
    </w:rPr>
  </w:style>
  <w:style w:type="character" w:styleId="FollowedHyperlink">
    <w:name w:val="FollowedHyperlink"/>
    <w:basedOn w:val="DefaultParagraphFont"/>
    <w:uiPriority w:val="99"/>
    <w:semiHidden/>
    <w:unhideWhenUsed/>
    <w:rsid w:val="00CD6AFA"/>
    <w:rPr>
      <w:color w:val="954F72" w:themeColor="followedHyperlink"/>
      <w:u w:val="single"/>
    </w:rPr>
  </w:style>
  <w:style w:type="paragraph" w:styleId="FootnoteText">
    <w:name w:val="footnote text"/>
    <w:basedOn w:val="Normal"/>
    <w:link w:val="FootnoteTextChar"/>
    <w:uiPriority w:val="99"/>
    <w:semiHidden/>
    <w:unhideWhenUsed/>
    <w:rsid w:val="00950A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CE"/>
    <w:rPr>
      <w:sz w:val="20"/>
      <w:szCs w:val="20"/>
    </w:rPr>
  </w:style>
  <w:style w:type="character" w:styleId="FootnoteReference">
    <w:name w:val="footnote reference"/>
    <w:basedOn w:val="DefaultParagraphFont"/>
    <w:uiPriority w:val="99"/>
    <w:semiHidden/>
    <w:unhideWhenUsed/>
    <w:rsid w:val="00950ACE"/>
    <w:rPr>
      <w:vertAlign w:val="superscript"/>
    </w:rPr>
  </w:style>
  <w:style w:type="paragraph" w:styleId="Header">
    <w:name w:val="header"/>
    <w:basedOn w:val="Normal"/>
    <w:link w:val="HeaderChar"/>
    <w:unhideWhenUsed/>
    <w:rsid w:val="00E4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34"/>
  </w:style>
  <w:style w:type="paragraph" w:styleId="Footer">
    <w:name w:val="footer"/>
    <w:basedOn w:val="Normal"/>
    <w:link w:val="FooterChar"/>
    <w:unhideWhenUsed/>
    <w:rsid w:val="00E4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34"/>
  </w:style>
  <w:style w:type="table" w:styleId="TableGrid">
    <w:name w:val="Table Grid"/>
    <w:basedOn w:val="TableNormal"/>
    <w:uiPriority w:val="39"/>
    <w:rsid w:val="0099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646">
      <w:bodyDiv w:val="1"/>
      <w:marLeft w:val="0"/>
      <w:marRight w:val="0"/>
      <w:marTop w:val="0"/>
      <w:marBottom w:val="0"/>
      <w:divBdr>
        <w:top w:val="none" w:sz="0" w:space="0" w:color="auto"/>
        <w:left w:val="none" w:sz="0" w:space="0" w:color="auto"/>
        <w:bottom w:val="none" w:sz="0" w:space="0" w:color="auto"/>
        <w:right w:val="none" w:sz="0" w:space="0" w:color="auto"/>
      </w:divBdr>
    </w:div>
    <w:div w:id="552278642">
      <w:bodyDiv w:val="1"/>
      <w:marLeft w:val="0"/>
      <w:marRight w:val="0"/>
      <w:marTop w:val="0"/>
      <w:marBottom w:val="0"/>
      <w:divBdr>
        <w:top w:val="none" w:sz="0" w:space="0" w:color="auto"/>
        <w:left w:val="none" w:sz="0" w:space="0" w:color="auto"/>
        <w:bottom w:val="none" w:sz="0" w:space="0" w:color="auto"/>
        <w:right w:val="none" w:sz="0" w:space="0" w:color="auto"/>
      </w:divBdr>
    </w:div>
    <w:div w:id="978221085">
      <w:bodyDiv w:val="1"/>
      <w:marLeft w:val="0"/>
      <w:marRight w:val="0"/>
      <w:marTop w:val="0"/>
      <w:marBottom w:val="0"/>
      <w:divBdr>
        <w:top w:val="none" w:sz="0" w:space="0" w:color="auto"/>
        <w:left w:val="none" w:sz="0" w:space="0" w:color="auto"/>
        <w:bottom w:val="none" w:sz="0" w:space="0" w:color="auto"/>
        <w:right w:val="none" w:sz="0" w:space="0" w:color="auto"/>
      </w:divBdr>
    </w:div>
    <w:div w:id="1312827210">
      <w:bodyDiv w:val="1"/>
      <w:marLeft w:val="0"/>
      <w:marRight w:val="0"/>
      <w:marTop w:val="0"/>
      <w:marBottom w:val="0"/>
      <w:divBdr>
        <w:top w:val="none" w:sz="0" w:space="0" w:color="auto"/>
        <w:left w:val="none" w:sz="0" w:space="0" w:color="auto"/>
        <w:bottom w:val="none" w:sz="0" w:space="0" w:color="auto"/>
        <w:right w:val="none" w:sz="0" w:space="0" w:color="auto"/>
      </w:divBdr>
    </w:div>
    <w:div w:id="1388921018">
      <w:bodyDiv w:val="1"/>
      <w:marLeft w:val="0"/>
      <w:marRight w:val="0"/>
      <w:marTop w:val="0"/>
      <w:marBottom w:val="0"/>
      <w:divBdr>
        <w:top w:val="none" w:sz="0" w:space="0" w:color="auto"/>
        <w:left w:val="none" w:sz="0" w:space="0" w:color="auto"/>
        <w:bottom w:val="none" w:sz="0" w:space="0" w:color="auto"/>
        <w:right w:val="none" w:sz="0" w:space="0" w:color="auto"/>
      </w:divBdr>
    </w:div>
    <w:div w:id="1459715679">
      <w:bodyDiv w:val="1"/>
      <w:marLeft w:val="0"/>
      <w:marRight w:val="0"/>
      <w:marTop w:val="0"/>
      <w:marBottom w:val="0"/>
      <w:divBdr>
        <w:top w:val="none" w:sz="0" w:space="0" w:color="auto"/>
        <w:left w:val="none" w:sz="0" w:space="0" w:color="auto"/>
        <w:bottom w:val="none" w:sz="0" w:space="0" w:color="auto"/>
        <w:right w:val="none" w:sz="0" w:space="0" w:color="auto"/>
      </w:divBdr>
    </w:div>
    <w:div w:id="15762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gateca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fgtitle.com/wp-content/uploads/2022/01/WFG-State-of-the-Company-Q3-final.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fields@wfgnationaltitle.com" TargetMode="External"/><Relationship Id="rId4" Type="http://schemas.openxmlformats.org/officeDocument/2006/relationships/webSettings" Target="webSettings.xml"/><Relationship Id="rId9" Type="http://schemas.openxmlformats.org/officeDocument/2006/relationships/hyperlink" Target="https://wfgtitle.com/wp-content/uploads/2024/01/WFG-State-of-the-Company-2023-Q3.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7A33-9256-435D-9849-F57210B5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5</cp:revision>
  <dcterms:created xsi:type="dcterms:W3CDTF">2024-01-09T23:48:00Z</dcterms:created>
  <dcterms:modified xsi:type="dcterms:W3CDTF">2024-01-10T14:37:00Z</dcterms:modified>
</cp:coreProperties>
</file>