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147FB">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bookmarkStart w:id="0" w:name="co_document_1"/>
      <w:bookmarkStart w:id="1" w:name="Ic6fb89415adc11dbbd2dfa5ce1d08a25_Target"/>
      <w:bookmarkEnd w:id="0"/>
      <w:bookmarkEnd w:id="1"/>
    </w:p>
    <w:p w:rsidR="00000000" w:rsidRDefault="00A147FB">
      <w:pPr>
        <w:widowControl w:val="0"/>
        <w:autoSpaceDE w:val="0"/>
        <w:autoSpaceDN w:val="0"/>
        <w:adjustRightInd w:val="0"/>
        <w:spacing w:after="20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31 Idaho L. Rev. 1071</w:t>
      </w:r>
    </w:p>
    <w:p w:rsidR="00000000" w:rsidRDefault="00A147FB">
      <w:pPr>
        <w:widowControl w:val="0"/>
        <w:autoSpaceDE w:val="0"/>
        <w:autoSpaceDN w:val="0"/>
        <w:adjustRightInd w:val="0"/>
        <w:spacing w:before="364" w:after="0" w:line="240" w:lineRule="auto"/>
        <w:rPr>
          <w:rFonts w:ascii="Times New Roman" w:hAnsi="Times New Roman" w:cs="Times New Roman"/>
          <w:b/>
          <w:bCs/>
          <w:color w:val="6B6B6A"/>
          <w:sz w:val="18"/>
          <w:szCs w:val="18"/>
        </w:rPr>
      </w:pPr>
      <w:r>
        <w:rPr>
          <w:rFonts w:ascii="Times New Roman" w:hAnsi="Times New Roman" w:cs="Times New Roman"/>
          <w:b/>
          <w:bCs/>
          <w:color w:val="6B6B6A"/>
          <w:sz w:val="18"/>
          <w:szCs w:val="18"/>
        </w:rPr>
        <w:t>I</w:t>
      </w:r>
      <w:r>
        <w:rPr>
          <w:rFonts w:ascii="Times New Roman" w:hAnsi="Times New Roman" w:cs="Times New Roman"/>
          <w:b/>
          <w:bCs/>
          <w:color w:val="6B6B6A"/>
          <w:sz w:val="18"/>
          <w:szCs w:val="18"/>
        </w:rPr>
        <w:t>daho Law Review</w:t>
      </w:r>
    </w:p>
    <w:p w:rsidR="00000000" w:rsidRDefault="00A147FB">
      <w:pPr>
        <w:widowControl w:val="0"/>
        <w:autoSpaceDE w:val="0"/>
        <w:autoSpaceDN w:val="0"/>
        <w:adjustRightInd w:val="0"/>
        <w:spacing w:after="0" w:line="240" w:lineRule="auto"/>
        <w:rPr>
          <w:rFonts w:ascii="Times New Roman" w:hAnsi="Times New Roman" w:cs="Times New Roman"/>
          <w:color w:val="6B6B6A"/>
          <w:sz w:val="18"/>
          <w:szCs w:val="18"/>
        </w:rPr>
      </w:pPr>
      <w:r>
        <w:rPr>
          <w:rFonts w:ascii="Times New Roman" w:hAnsi="Times New Roman" w:cs="Times New Roman"/>
          <w:color w:val="6B6B6A"/>
          <w:sz w:val="18"/>
          <w:szCs w:val="18"/>
        </w:rPr>
        <w:t>1995</w:t>
      </w:r>
    </w:p>
    <w:p w:rsidR="00000000" w:rsidRDefault="00A147FB">
      <w:pPr>
        <w:widowControl w:val="0"/>
        <w:autoSpaceDE w:val="0"/>
        <w:autoSpaceDN w:val="0"/>
        <w:adjustRightInd w:val="0"/>
        <w:spacing w:after="0" w:line="240" w:lineRule="auto"/>
        <w:rPr>
          <w:rFonts w:ascii="Times New Roman" w:hAnsi="Times New Roman" w:cs="Times New Roman"/>
          <w:color w:val="6B6B6A"/>
          <w:sz w:val="16"/>
          <w:szCs w:val="16"/>
        </w:rPr>
      </w:pPr>
      <w:hyperlink r:id="rId8" w:history="1">
        <w:r>
          <w:rPr>
            <w:rFonts w:ascii="Times New Roman" w:hAnsi="Times New Roman" w:cs="Times New Roman"/>
            <w:color w:val="0000FF"/>
            <w:sz w:val="20"/>
            <w:szCs w:val="20"/>
          </w:rPr>
          <w:t>Gary C. Randall</w:t>
        </w:r>
      </w:hyperlink>
      <w:bookmarkStart w:id="2" w:name="co_footnoteReference_Fa105705367_ID0EKKA"/>
      <w:bookmarkEnd w:id="2"/>
      <w:r>
        <w:rPr>
          <w:rFonts w:ascii="Times New Roman" w:hAnsi="Times New Roman" w:cs="Times New Roman"/>
          <w:color w:val="6B6B6A"/>
          <w:sz w:val="16"/>
          <w:szCs w:val="16"/>
        </w:rPr>
        <w:fldChar w:fldCharType="begin"/>
      </w:r>
      <w:r>
        <w:rPr>
          <w:rFonts w:ascii="Times New Roman" w:hAnsi="Times New Roman" w:cs="Times New Roman"/>
          <w:color w:val="6B6B6A"/>
          <w:sz w:val="16"/>
          <w:szCs w:val="16"/>
        </w:rPr>
        <w:instrText xml:space="preserve">HYPERLINK "#co_footnote_Fa105705367_1" </w:instrText>
      </w:r>
      <w:r w:rsidR="00A82B32">
        <w:rPr>
          <w:rFonts w:ascii="Times New Roman" w:hAnsi="Times New Roman" w:cs="Times New Roman"/>
          <w:color w:val="6B6B6A"/>
          <w:sz w:val="16"/>
          <w:szCs w:val="16"/>
        </w:rPr>
      </w:r>
      <w:r>
        <w:rPr>
          <w:rFonts w:ascii="Times New Roman" w:hAnsi="Times New Roman" w:cs="Times New Roman"/>
          <w:color w:val="6B6B6A"/>
          <w:sz w:val="16"/>
          <w:szCs w:val="16"/>
        </w:rPr>
        <w:fldChar w:fldCharType="separate"/>
      </w:r>
      <w:r>
        <w:rPr>
          <w:rFonts w:ascii="Times New Roman" w:hAnsi="Times New Roman" w:cs="Times New Roman"/>
          <w:color w:val="0000FF"/>
          <w:sz w:val="16"/>
          <w:szCs w:val="16"/>
          <w:vertAlign w:val="superscript"/>
        </w:rPr>
        <w:t>a</w:t>
      </w:r>
      <w:r>
        <w:rPr>
          <w:rFonts w:ascii="Times New Roman" w:hAnsi="Times New Roman" w:cs="Times New Roman"/>
          <w:color w:val="6B6B6A"/>
          <w:sz w:val="16"/>
          <w:szCs w:val="16"/>
        </w:rPr>
        <w:fldChar w:fldCharType="end"/>
      </w:r>
      <w:r>
        <w:rPr>
          <w:rFonts w:ascii="Times New Roman" w:hAnsi="Times New Roman" w:cs="Times New Roman"/>
          <w:color w:val="6B6B6A"/>
          <w:sz w:val="20"/>
          <w:szCs w:val="20"/>
        </w:rPr>
        <w:t xml:space="preserve"> </w:t>
      </w:r>
      <w:hyperlink r:id="rId9" w:history="1">
        <w:r>
          <w:rPr>
            <w:rFonts w:ascii="Times New Roman" w:hAnsi="Times New Roman" w:cs="Times New Roman"/>
            <w:color w:val="0000FF"/>
            <w:sz w:val="20"/>
            <w:szCs w:val="20"/>
          </w:rPr>
          <w:t>Katti Telstad</w:t>
        </w:r>
      </w:hyperlink>
      <w:bookmarkStart w:id="3" w:name="co_footnoteReference_Faa105705367_ID0E3K"/>
      <w:bookmarkEnd w:id="3"/>
      <w:r>
        <w:rPr>
          <w:rFonts w:ascii="Times New Roman" w:hAnsi="Times New Roman" w:cs="Times New Roman"/>
          <w:color w:val="6B6B6A"/>
          <w:sz w:val="16"/>
          <w:szCs w:val="16"/>
        </w:rPr>
        <w:fldChar w:fldCharType="begin"/>
      </w:r>
      <w:r>
        <w:rPr>
          <w:rFonts w:ascii="Times New Roman" w:hAnsi="Times New Roman" w:cs="Times New Roman"/>
          <w:color w:val="6B6B6A"/>
          <w:sz w:val="16"/>
          <w:szCs w:val="16"/>
        </w:rPr>
        <w:instrText xml:space="preserve">HYPERLINK "#co_footnote_Faa105705367_1" </w:instrText>
      </w:r>
      <w:r w:rsidR="00A82B32">
        <w:rPr>
          <w:rFonts w:ascii="Times New Roman" w:hAnsi="Times New Roman" w:cs="Times New Roman"/>
          <w:color w:val="6B6B6A"/>
          <w:sz w:val="16"/>
          <w:szCs w:val="16"/>
        </w:rPr>
      </w:r>
      <w:r>
        <w:rPr>
          <w:rFonts w:ascii="Times New Roman" w:hAnsi="Times New Roman" w:cs="Times New Roman"/>
          <w:color w:val="6B6B6A"/>
          <w:sz w:val="16"/>
          <w:szCs w:val="16"/>
        </w:rPr>
        <w:fldChar w:fldCharType="separate"/>
      </w:r>
      <w:r>
        <w:rPr>
          <w:rFonts w:ascii="Times New Roman" w:hAnsi="Times New Roman" w:cs="Times New Roman"/>
          <w:color w:val="0000FF"/>
          <w:sz w:val="16"/>
          <w:szCs w:val="16"/>
          <w:vertAlign w:val="superscript"/>
        </w:rPr>
        <w:t>aa</w:t>
      </w:r>
      <w:r>
        <w:rPr>
          <w:rFonts w:ascii="Times New Roman" w:hAnsi="Times New Roman" w:cs="Times New Roman"/>
          <w:color w:val="6B6B6A"/>
          <w:sz w:val="16"/>
          <w:szCs w:val="16"/>
        </w:rPr>
        <w:fldChar w:fldCharType="end"/>
      </w:r>
      <w:bookmarkStart w:id="4" w:name="_GoBack"/>
      <w:bookmarkEnd w:id="4"/>
    </w:p>
    <w:p w:rsidR="00000000" w:rsidRDefault="00A147FB">
      <w:pPr>
        <w:widowControl w:val="0"/>
        <w:autoSpaceDE w:val="0"/>
        <w:autoSpaceDN w:val="0"/>
        <w:adjustRightInd w:val="0"/>
        <w:spacing w:before="200" w:after="200" w:line="240" w:lineRule="auto"/>
        <w:rPr>
          <w:rFonts w:ascii="Times New Roman" w:hAnsi="Times New Roman" w:cs="Times New Roman"/>
          <w:color w:val="6B6B6A"/>
          <w:sz w:val="20"/>
          <w:szCs w:val="20"/>
        </w:rPr>
      </w:pPr>
      <w:r>
        <w:rPr>
          <w:rFonts w:ascii="Times New Roman" w:hAnsi="Times New Roman" w:cs="Times New Roman"/>
          <w:color w:val="6B6B6A"/>
          <w:sz w:val="20"/>
          <w:szCs w:val="20"/>
        </w:rPr>
        <w:t>Copyright (c) 1995 Idaho Law Review; Gary C. Randall, Katti Telstad</w:t>
      </w:r>
    </w:p>
    <w:p w:rsidR="00000000" w:rsidRDefault="00A147FB">
      <w:pPr>
        <w:widowControl w:val="0"/>
        <w:autoSpaceDE w:val="0"/>
        <w:autoSpaceDN w:val="0"/>
        <w:adjustRightInd w:val="0"/>
        <w:spacing w:before="760" w:after="500" w:line="240" w:lineRule="auto"/>
        <w:rPr>
          <w:rFonts w:ascii="Times New Roman" w:hAnsi="Times New Roman" w:cs="Times New Roman"/>
          <w:color w:val="252525"/>
          <w:sz w:val="20"/>
          <w:szCs w:val="20"/>
        </w:rPr>
      </w:pPr>
      <w:r>
        <w:rPr>
          <w:rFonts w:ascii="Times New Roman" w:hAnsi="Times New Roman" w:cs="Times New Roman"/>
          <w:color w:val="252525"/>
          <w:sz w:val="20"/>
          <w:szCs w:val="20"/>
        </w:rPr>
        <w:t>COMMUNITY PROPERTY RULES OR AMERICAN INDIAN T</w:t>
      </w:r>
      <w:r>
        <w:rPr>
          <w:rFonts w:ascii="Times New Roman" w:hAnsi="Times New Roman" w:cs="Times New Roman"/>
          <w:color w:val="252525"/>
          <w:sz w:val="20"/>
          <w:szCs w:val="20"/>
        </w:rPr>
        <w:t>RIBAL LAW -- WHICH PREVAILS?</w:t>
      </w:r>
    </w:p>
    <w:p w:rsidR="00000000" w:rsidRDefault="00A147FB">
      <w:pPr>
        <w:widowControl w:val="0"/>
        <w:autoSpaceDE w:val="0"/>
        <w:autoSpaceDN w:val="0"/>
        <w:adjustRightInd w:val="0"/>
        <w:spacing w:after="0" w:line="240" w:lineRule="auto"/>
        <w:ind w:left="700" w:right="400"/>
        <w:jc w:val="both"/>
        <w:rPr>
          <w:rFonts w:ascii="Times New Roman" w:hAnsi="Times New Roman" w:cs="Times New Roman"/>
          <w:color w:val="000000"/>
          <w:sz w:val="16"/>
          <w:szCs w:val="16"/>
        </w:rPr>
      </w:pPr>
      <w:r>
        <w:rPr>
          <w:rFonts w:ascii="Times New Roman" w:hAnsi="Times New Roman" w:cs="Times New Roman"/>
          <w:color w:val="000000"/>
          <w:sz w:val="20"/>
          <w:szCs w:val="20"/>
        </w:rPr>
        <w:t>“</w:t>
      </w:r>
      <w:r>
        <w:rPr>
          <w:rFonts w:ascii="Times New Roman" w:hAnsi="Times New Roman" w:cs="Times New Roman"/>
          <w:color w:val="000000"/>
          <w:sz w:val="20"/>
          <w:szCs w:val="20"/>
        </w:rPr>
        <w:t>This land is my land, This land is your land . . . (</w:t>
      </w:r>
      <w:r>
        <w:rPr>
          <w:rFonts w:ascii="Times New Roman" w:hAnsi="Times New Roman" w:cs="Times New Roman"/>
          <w:b/>
          <w:bCs/>
          <w:color w:val="252525"/>
          <w:sz w:val="20"/>
          <w:szCs w:val="20"/>
          <w:shd w:val="clear" w:color="auto" w:fill="FEFE00"/>
        </w:rPr>
        <w:t>Title</w:t>
      </w:r>
      <w:r>
        <w:rPr>
          <w:rFonts w:ascii="Times New Roman" w:hAnsi="Times New Roman" w:cs="Times New Roman"/>
          <w:color w:val="000000"/>
          <w:sz w:val="20"/>
          <w:szCs w:val="20"/>
        </w:rPr>
        <w:t xml:space="preserve"> </w:t>
      </w:r>
      <w:r>
        <w:rPr>
          <w:rFonts w:ascii="Times New Roman" w:hAnsi="Times New Roman" w:cs="Times New Roman"/>
          <w:b/>
          <w:bCs/>
          <w:color w:val="252525"/>
          <w:sz w:val="20"/>
          <w:szCs w:val="20"/>
          <w:shd w:val="clear" w:color="auto" w:fill="FEFE00"/>
        </w:rPr>
        <w:t>To</w:t>
      </w:r>
      <w:r>
        <w:rPr>
          <w:rFonts w:ascii="Times New Roman" w:hAnsi="Times New Roman" w:cs="Times New Roman"/>
          <w:color w:val="000000"/>
          <w:sz w:val="20"/>
          <w:szCs w:val="20"/>
        </w:rPr>
        <w:t xml:space="preserve"> </w:t>
      </w:r>
      <w:r>
        <w:rPr>
          <w:rFonts w:ascii="Times New Roman" w:hAnsi="Times New Roman" w:cs="Times New Roman"/>
          <w:b/>
          <w:bCs/>
          <w:color w:val="252525"/>
          <w:sz w:val="20"/>
          <w:szCs w:val="20"/>
          <w:shd w:val="clear" w:color="auto" w:fill="FEFE00"/>
        </w:rPr>
        <w:t>This</w:t>
      </w:r>
      <w:r>
        <w:rPr>
          <w:rFonts w:ascii="Times New Roman" w:hAnsi="Times New Roman" w:cs="Times New Roman"/>
          <w:color w:val="000000"/>
          <w:sz w:val="20"/>
          <w:szCs w:val="20"/>
        </w:rPr>
        <w:t xml:space="preserve"> </w:t>
      </w:r>
      <w:r>
        <w:rPr>
          <w:rFonts w:ascii="Times New Roman" w:hAnsi="Times New Roman" w:cs="Times New Roman"/>
          <w:b/>
          <w:bCs/>
          <w:color w:val="252525"/>
          <w:sz w:val="20"/>
          <w:szCs w:val="20"/>
          <w:shd w:val="clear" w:color="auto" w:fill="FEFE00"/>
        </w:rPr>
        <w:t>Land</w:t>
      </w:r>
      <w:r>
        <w:rPr>
          <w:rFonts w:ascii="Times New Roman" w:hAnsi="Times New Roman" w:cs="Times New Roman"/>
          <w:color w:val="000000"/>
          <w:sz w:val="20"/>
          <w:szCs w:val="20"/>
        </w:rPr>
        <w:t xml:space="preserve"> </w:t>
      </w:r>
      <w:r>
        <w:rPr>
          <w:rFonts w:ascii="Times New Roman" w:hAnsi="Times New Roman" w:cs="Times New Roman"/>
          <w:b/>
          <w:bCs/>
          <w:color w:val="252525"/>
          <w:sz w:val="20"/>
          <w:szCs w:val="20"/>
          <w:shd w:val="clear" w:color="auto" w:fill="FEFE00"/>
        </w:rPr>
        <w:t>is</w:t>
      </w:r>
      <w:r>
        <w:rPr>
          <w:rFonts w:ascii="Times New Roman" w:hAnsi="Times New Roman" w:cs="Times New Roman"/>
          <w:color w:val="000000"/>
          <w:sz w:val="20"/>
          <w:szCs w:val="20"/>
        </w:rPr>
        <w:t xml:space="preserve"> </w:t>
      </w:r>
      <w:r>
        <w:rPr>
          <w:rFonts w:ascii="Times New Roman" w:hAnsi="Times New Roman" w:cs="Times New Roman"/>
          <w:b/>
          <w:bCs/>
          <w:color w:val="252525"/>
          <w:sz w:val="20"/>
          <w:szCs w:val="20"/>
          <w:shd w:val="clear" w:color="auto" w:fill="FEFE00"/>
        </w:rPr>
        <w:t>Very</w:t>
      </w:r>
      <w:r>
        <w:rPr>
          <w:rFonts w:ascii="Times New Roman" w:hAnsi="Times New Roman" w:cs="Times New Roman"/>
          <w:color w:val="000000"/>
          <w:sz w:val="20"/>
          <w:szCs w:val="20"/>
        </w:rPr>
        <w:t xml:space="preserve"> </w:t>
      </w:r>
      <w:r>
        <w:rPr>
          <w:rFonts w:ascii="Times New Roman" w:hAnsi="Times New Roman" w:cs="Times New Roman"/>
          <w:b/>
          <w:bCs/>
          <w:color w:val="252525"/>
          <w:sz w:val="20"/>
          <w:szCs w:val="20"/>
          <w:shd w:val="clear" w:color="auto" w:fill="FEFE00"/>
        </w:rPr>
        <w:t>Confused</w:t>
      </w:r>
      <w:r>
        <w:rPr>
          <w:rFonts w:ascii="Times New Roman" w:hAnsi="Times New Roman" w:cs="Times New Roman"/>
          <w:color w:val="000000"/>
          <w:sz w:val="20"/>
          <w:szCs w:val="20"/>
        </w:rPr>
        <w:t>)</w:t>
      </w:r>
      <w:r>
        <w:rPr>
          <w:rFonts w:ascii="Times New Roman" w:hAnsi="Times New Roman" w:cs="Times New Roman"/>
          <w:color w:val="000000"/>
          <w:sz w:val="20"/>
          <w:szCs w:val="20"/>
        </w:rPr>
        <w:t>”</w:t>
      </w:r>
      <w:bookmarkStart w:id="5" w:name="co_footnoteReference_F1105705367_ID0EWMA"/>
      <w:bookmarkEnd w:id="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6" w:name="co_g_ID0E5MAC_1"/>
      <w:bookmarkEnd w:id="6"/>
      <w:r>
        <w:rPr>
          <w:rFonts w:ascii="Times New Roman" w:hAnsi="Times New Roman" w:cs="Times New Roman"/>
          <w:b/>
          <w:bCs/>
          <w:color w:val="000000"/>
          <w:sz w:val="20"/>
          <w:szCs w:val="20"/>
        </w:rPr>
        <w:t>TABLE OF CONTENTS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tbl3_1"/>
      <w:bookmarkEnd w:id="7"/>
    </w:p>
    <w:tbl>
      <w:tblPr>
        <w:tblW w:w="0" w:type="auto"/>
        <w:tblInd w:w="30" w:type="dxa"/>
        <w:tblLayout w:type="fixed"/>
        <w:tblCellMar>
          <w:left w:w="0" w:type="dxa"/>
          <w:right w:w="0" w:type="dxa"/>
        </w:tblCellMar>
        <w:tblLook w:val="0000" w:firstRow="0" w:lastRow="0" w:firstColumn="0" w:lastColumn="0" w:noHBand="0" w:noVBand="0"/>
      </w:tblPr>
      <w:tblGrid>
        <w:gridCol w:w="1440"/>
        <w:gridCol w:w="7200"/>
        <w:gridCol w:w="1440"/>
      </w:tblGrid>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10" w:history="1">
              <w:r>
                <w:rPr>
                  <w:rFonts w:ascii="Times New Roman" w:hAnsi="Times New Roman" w:cs="Times New Roman"/>
                  <w:color w:val="0000FF"/>
                  <w:sz w:val="20"/>
                  <w:szCs w:val="20"/>
                  <w:vertAlign w:val="superscript"/>
                </w:rPr>
                <w:t>I.</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11" w:history="1">
              <w:r>
                <w:rPr>
                  <w:rFonts w:ascii="Times New Roman" w:hAnsi="Times New Roman" w:cs="Times New Roman"/>
                  <w:color w:val="0000FF"/>
                  <w:sz w:val="20"/>
                  <w:szCs w:val="20"/>
                  <w:vertAlign w:val="superscript"/>
                </w:rPr>
                <w:t>INTRODUCTION</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2" w:history="1">
              <w:r>
                <w:rPr>
                  <w:rFonts w:ascii="Times New Roman" w:hAnsi="Times New Roman" w:cs="Times New Roman"/>
                  <w:color w:val="0000FF"/>
                  <w:sz w:val="20"/>
                  <w:szCs w:val="20"/>
                  <w:vertAlign w:val="superscript"/>
                </w:rPr>
                <w:t>1071</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13" w:history="1">
              <w:r>
                <w:rPr>
                  <w:rFonts w:ascii="Times New Roman" w:hAnsi="Times New Roman" w:cs="Times New Roman"/>
                  <w:color w:val="0000FF"/>
                  <w:sz w:val="20"/>
                  <w:szCs w:val="20"/>
                  <w:vertAlign w:val="superscript"/>
                </w:rPr>
                <w:t>II.</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14" w:history="1">
              <w:r>
                <w:rPr>
                  <w:rFonts w:ascii="Times New Roman" w:hAnsi="Times New Roman" w:cs="Times New Roman"/>
                  <w:color w:val="0000FF"/>
                  <w:sz w:val="20"/>
                  <w:szCs w:val="20"/>
                  <w:vertAlign w:val="superscript"/>
                </w:rPr>
                <w:t>GENERAL APPLICATION OF COMMUNITY PROPERTY RULES</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5" w:history="1">
              <w:r>
                <w:rPr>
                  <w:rFonts w:ascii="Times New Roman" w:hAnsi="Times New Roman" w:cs="Times New Roman"/>
                  <w:color w:val="0000FF"/>
                  <w:sz w:val="20"/>
                  <w:szCs w:val="20"/>
                  <w:vertAlign w:val="superscript"/>
                </w:rPr>
                <w:t>1072</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16" w:history="1">
              <w:r>
                <w:rPr>
                  <w:rFonts w:ascii="Times New Roman" w:hAnsi="Times New Roman" w:cs="Times New Roman"/>
                  <w:color w:val="0000FF"/>
                  <w:sz w:val="20"/>
                  <w:szCs w:val="20"/>
                  <w:vertAlign w:val="superscript"/>
                </w:rPr>
                <w:t>III.</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17" w:history="1">
              <w:r>
                <w:rPr>
                  <w:rFonts w:ascii="Times New Roman" w:hAnsi="Times New Roman" w:cs="Times New Roman"/>
                  <w:color w:val="0000FF"/>
                  <w:sz w:val="20"/>
                  <w:szCs w:val="20"/>
                  <w:vertAlign w:val="superscript"/>
                </w:rPr>
                <w:t>PUBLIC LAW 280 STATES</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8" w:history="1">
              <w:r>
                <w:rPr>
                  <w:rFonts w:ascii="Times New Roman" w:hAnsi="Times New Roman" w:cs="Times New Roman"/>
                  <w:color w:val="0000FF"/>
                  <w:sz w:val="20"/>
                  <w:szCs w:val="20"/>
                  <w:vertAlign w:val="superscript"/>
                </w:rPr>
                <w:t>1075</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19" w:history="1">
              <w:r>
                <w:rPr>
                  <w:rFonts w:ascii="Times New Roman" w:hAnsi="Times New Roman" w:cs="Times New Roman"/>
                  <w:color w:val="0000FF"/>
                  <w:sz w:val="20"/>
                  <w:szCs w:val="20"/>
                  <w:vertAlign w:val="superscript"/>
                </w:rPr>
                <w:t>IV.</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20" w:history="1">
              <w:r>
                <w:rPr>
                  <w:rFonts w:ascii="Times New Roman" w:hAnsi="Times New Roman" w:cs="Times New Roman"/>
                  <w:color w:val="0000FF"/>
                  <w:sz w:val="20"/>
                  <w:szCs w:val="20"/>
                  <w:vertAlign w:val="superscript"/>
                </w:rPr>
                <w:t>WHO DECIDES IF PUBLIC LAW 280 APPLIES?</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1" w:history="1">
              <w:r>
                <w:rPr>
                  <w:rFonts w:ascii="Times New Roman" w:hAnsi="Times New Roman" w:cs="Times New Roman"/>
                  <w:color w:val="0000FF"/>
                  <w:sz w:val="20"/>
                  <w:szCs w:val="20"/>
                  <w:vertAlign w:val="superscript"/>
                </w:rPr>
                <w:t>1083</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22" w:history="1">
              <w:r>
                <w:rPr>
                  <w:rFonts w:ascii="Times New Roman" w:hAnsi="Times New Roman" w:cs="Times New Roman"/>
                  <w:color w:val="0000FF"/>
                  <w:sz w:val="20"/>
                  <w:szCs w:val="20"/>
                  <w:vertAlign w:val="superscript"/>
                </w:rPr>
                <w:t>V.</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23" w:history="1">
              <w:r>
                <w:rPr>
                  <w:rFonts w:ascii="Times New Roman" w:hAnsi="Times New Roman" w:cs="Times New Roman"/>
                  <w:color w:val="0000FF"/>
                  <w:sz w:val="20"/>
                  <w:szCs w:val="20"/>
                  <w:vertAlign w:val="superscript"/>
                </w:rPr>
                <w:t>COMMUNITY PROPERTY PRINCIPLES</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4" w:history="1">
              <w:r>
                <w:rPr>
                  <w:rFonts w:ascii="Times New Roman" w:hAnsi="Times New Roman" w:cs="Times New Roman"/>
                  <w:color w:val="0000FF"/>
                  <w:sz w:val="20"/>
                  <w:szCs w:val="20"/>
                  <w:vertAlign w:val="superscript"/>
                </w:rPr>
                <w:t>1084</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25" w:history="1">
              <w:r>
                <w:rPr>
                  <w:rFonts w:ascii="Times New Roman" w:hAnsi="Times New Roman" w:cs="Times New Roman"/>
                  <w:color w:val="0000FF"/>
                  <w:sz w:val="20"/>
                  <w:szCs w:val="20"/>
                  <w:vertAlign w:val="superscript"/>
                </w:rPr>
                <w:t>VI.</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26" w:history="1">
              <w:r>
                <w:rPr>
                  <w:rFonts w:ascii="Times New Roman" w:hAnsi="Times New Roman" w:cs="Times New Roman"/>
                  <w:color w:val="0000FF"/>
                  <w:sz w:val="20"/>
                  <w:szCs w:val="20"/>
                  <w:vertAlign w:val="superscript"/>
                </w:rPr>
                <w:t>NON-PUBLIC LAW 280 STATES</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7" w:history="1">
              <w:r>
                <w:rPr>
                  <w:rFonts w:ascii="Times New Roman" w:hAnsi="Times New Roman" w:cs="Times New Roman"/>
                  <w:color w:val="0000FF"/>
                  <w:sz w:val="20"/>
                  <w:szCs w:val="20"/>
                  <w:vertAlign w:val="superscript"/>
                </w:rPr>
                <w:t>1085</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hyperlink r:id="rId28" w:history="1">
              <w:r>
                <w:rPr>
                  <w:rFonts w:ascii="Times New Roman" w:hAnsi="Times New Roman" w:cs="Times New Roman"/>
                  <w:color w:val="0000FF"/>
                  <w:sz w:val="20"/>
                  <w:szCs w:val="20"/>
                  <w:vertAlign w:val="superscript"/>
                </w:rPr>
                <w:t>VII.</w:t>
              </w:r>
            </w:hyperlink>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000000"/>
                <w:sz w:val="20"/>
                <w:szCs w:val="20"/>
              </w:rPr>
            </w:pPr>
          </w:p>
        </w:tc>
        <w:tc>
          <w:tcPr>
            <w:tcW w:w="72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hyperlink r:id="rId29" w:history="1">
              <w:r>
                <w:rPr>
                  <w:rFonts w:ascii="Times New Roman" w:hAnsi="Times New Roman" w:cs="Times New Roman"/>
                  <w:color w:val="0000FF"/>
                  <w:sz w:val="20"/>
                  <w:szCs w:val="20"/>
                  <w:vertAlign w:val="superscript"/>
                </w:rPr>
                <w:t>CONCLUSION</w:t>
              </w:r>
            </w:hyperlink>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Mar>
              <w:left w:w="30" w:type="dxa"/>
              <w:right w:w="30" w:type="dxa"/>
            </w:tcMar>
          </w:tcPr>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30" w:history="1">
              <w:r>
                <w:rPr>
                  <w:rFonts w:ascii="Times New Roman" w:hAnsi="Times New Roman" w:cs="Times New Roman"/>
                  <w:color w:val="0000FF"/>
                  <w:sz w:val="20"/>
                  <w:szCs w:val="20"/>
                  <w:vertAlign w:val="superscript"/>
                </w:rPr>
                <w:t>1085</w:t>
              </w:r>
            </w:hyperlink>
          </w:p>
          <w:p w:rsidR="00000000" w:rsidRDefault="00A147FB">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bl>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8" w:name="co_g_ID0ECCAE_1"/>
      <w:bookmarkEnd w:id="8"/>
      <w:r>
        <w:rPr>
          <w:rFonts w:ascii="Times New Roman" w:hAnsi="Times New Roman" w:cs="Times New Roman"/>
          <w:b/>
          <w:bCs/>
          <w:color w:val="000000"/>
          <w:sz w:val="20"/>
          <w:szCs w:val="20"/>
        </w:rPr>
        <w:t>I. INTRODUCTION</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 w:name="co_g_ID0EMCAE_1"/>
      <w:bookmarkEnd w:id="9"/>
      <w:r>
        <w:rPr>
          <w:rFonts w:ascii="Times New Roman" w:hAnsi="Times New Roman" w:cs="Times New Roman"/>
          <w:color w:val="000000"/>
          <w:sz w:val="20"/>
          <w:szCs w:val="20"/>
        </w:rPr>
        <w:t>Actually, title to American Indian trust property is perhaps the only thing not confused. Federal law controls trust property (lands not dis</w:t>
      </w:r>
      <w:r>
        <w:rPr>
          <w:rFonts w:ascii="Times New Roman" w:hAnsi="Times New Roman" w:cs="Times New Roman"/>
          <w:color w:val="000000"/>
          <w:sz w:val="20"/>
          <w:szCs w:val="20"/>
        </w:rPr>
        <w:t xml:space="preserve">posed of during the </w:t>
      </w:r>
      <w:r>
        <w:rPr>
          <w:rFonts w:ascii="Times New Roman" w:hAnsi="Times New Roman" w:cs="Times New Roman"/>
          <w:color w:val="000000"/>
          <w:sz w:val="20"/>
          <w:szCs w:val="20"/>
        </w:rPr>
        <w:t>“</w:t>
      </w:r>
      <w:r>
        <w:rPr>
          <w:rFonts w:ascii="Times New Roman" w:hAnsi="Times New Roman" w:cs="Times New Roman"/>
          <w:color w:val="000000"/>
          <w:sz w:val="20"/>
          <w:szCs w:val="20"/>
        </w:rPr>
        <w:t>allotment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period).</w:t>
      </w:r>
      <w:bookmarkStart w:id="10" w:name="co_footnoteReference_F2105705367_ID0EYCA"/>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Non-trust property including both non-trust real estate and personal property, creates the r</w:t>
      </w:r>
      <w:r>
        <w:rPr>
          <w:rFonts w:ascii="Times New Roman" w:hAnsi="Times New Roman" w:cs="Times New Roman"/>
          <w:color w:val="000000"/>
          <w:sz w:val="20"/>
          <w:szCs w:val="20"/>
        </w:rPr>
        <w:t>eal problem. State laws may or may not determine the ownership of non-trust property on Indian reservations.</w:t>
      </w:r>
      <w:bookmarkStart w:id="11" w:name="co_footnoteReference_F3105705367_ID0EADA"/>
      <w:bookmarkEnd w:id="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problem is particula</w:t>
      </w:r>
      <w:r>
        <w:rPr>
          <w:rFonts w:ascii="Times New Roman" w:hAnsi="Times New Roman" w:cs="Times New Roman"/>
          <w:color w:val="000000"/>
          <w:sz w:val="20"/>
          <w:szCs w:val="20"/>
        </w:rPr>
        <w:t>rly acute in states which follow the community property form of property acquisition, management and ownership.</w:t>
      </w:r>
      <w:bookmarkStart w:id="12" w:name="co_footnoteReference_F4105705367_ID0EFDA"/>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w:t>
      </w:r>
      <w:bookmarkStart w:id="13" w:name="co_pp_sp_1164_1072_1"/>
      <w:bookmarkEnd w:id="13"/>
      <w:r>
        <w:rPr>
          <w:rFonts w:ascii="Times New Roman" w:hAnsi="Times New Roman" w:cs="Times New Roman"/>
          <w:b/>
          <w:bCs/>
          <w:color w:val="000000"/>
          <w:sz w:val="20"/>
          <w:szCs w:val="20"/>
        </w:rPr>
        <w:t>*1072</w:t>
      </w:r>
      <w:r>
        <w:rPr>
          <w:rFonts w:ascii="Times New Roman" w:hAnsi="Times New Roman" w:cs="Times New Roman"/>
          <w:color w:val="000000"/>
          <w:sz w:val="20"/>
          <w:szCs w:val="20"/>
        </w:rPr>
        <w:t xml:space="preserve"> state law should not impact the ownership of trust property due to federal preemption,</w:t>
      </w:r>
      <w:bookmarkStart w:id="14" w:name="co_footnoteReference_F5105705367_ID0ENDA"/>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state law may p</w:t>
      </w:r>
      <w:r>
        <w:rPr>
          <w:rFonts w:ascii="Times New Roman" w:hAnsi="Times New Roman" w:cs="Times New Roman"/>
          <w:color w:val="000000"/>
          <w:sz w:val="20"/>
          <w:szCs w:val="20"/>
        </w:rPr>
        <w:t>otentially govern non-trust property rights even on reservations.</w:t>
      </w:r>
      <w:bookmarkStart w:id="15" w:name="co_footnoteReference_F6105705367_ID0ERDA"/>
      <w:bookmarkEnd w:id="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 w:name="co_g_ID0EYDAE_1"/>
      <w:bookmarkEnd w:id="16"/>
      <w:r>
        <w:rPr>
          <w:rFonts w:ascii="Times New Roman" w:hAnsi="Times New Roman" w:cs="Times New Roman"/>
          <w:color w:val="000000"/>
          <w:sz w:val="20"/>
          <w:szCs w:val="20"/>
        </w:rPr>
        <w:t xml:space="preserve">Federally recognized Indian tribes </w:t>
      </w:r>
      <w:r>
        <w:rPr>
          <w:rFonts w:ascii="Times New Roman" w:hAnsi="Times New Roman" w:cs="Times New Roman"/>
          <w:color w:val="000000"/>
          <w:sz w:val="20"/>
          <w:szCs w:val="20"/>
        </w:rPr>
        <w:t>have a status similar to sovereign nations but they remain subject to some federal and state governance.</w:t>
      </w:r>
      <w:bookmarkStart w:id="17" w:name="co_footnoteReference_F7105705367_ID0EAEA"/>
      <w:bookmarkEnd w:id="1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Article explores the ex</w:t>
      </w:r>
      <w:r>
        <w:rPr>
          <w:rFonts w:ascii="Times New Roman" w:hAnsi="Times New Roman" w:cs="Times New Roman"/>
          <w:color w:val="000000"/>
          <w:sz w:val="20"/>
          <w:szCs w:val="20"/>
        </w:rPr>
        <w:t>tent of that governance, specifically the application of state community property laws on reservations.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18" w:name="co_g_ID0EJEAE_1"/>
      <w:bookmarkEnd w:id="18"/>
      <w:r>
        <w:rPr>
          <w:rFonts w:ascii="Times New Roman" w:hAnsi="Times New Roman" w:cs="Times New Roman"/>
          <w:b/>
          <w:bCs/>
          <w:color w:val="000000"/>
          <w:sz w:val="20"/>
          <w:szCs w:val="20"/>
        </w:rPr>
        <w:t>II. GENERAL APPLICATION OF COMMUNITY PROPERTY RULES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9" w:name="co_g_ID0ETEAE_1"/>
      <w:bookmarkEnd w:id="19"/>
      <w:r>
        <w:rPr>
          <w:rFonts w:ascii="Times New Roman" w:hAnsi="Times New Roman" w:cs="Times New Roman"/>
          <w:color w:val="000000"/>
          <w:sz w:val="20"/>
          <w:szCs w:val="20"/>
        </w:rPr>
        <w:lastRenderedPageBreak/>
        <w:t>In the United States, the community pr</w:t>
      </w:r>
      <w:r>
        <w:rPr>
          <w:rFonts w:ascii="Times New Roman" w:hAnsi="Times New Roman" w:cs="Times New Roman"/>
          <w:color w:val="000000"/>
          <w:sz w:val="20"/>
          <w:szCs w:val="20"/>
        </w:rPr>
        <w:t>operty system depends upon the domicile of individuals. An individual’s domicile is where he intends to live, together with some objective ties to that particular location.</w:t>
      </w:r>
      <w:bookmarkStart w:id="20" w:name="co_footnoteReference_F8105705367_ID0E5EA"/>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w:instrText>
      </w:r>
      <w:r>
        <w:rPr>
          <w:rFonts w:ascii="Times New Roman" w:hAnsi="Times New Roman" w:cs="Times New Roman"/>
          <w:color w:val="000000"/>
          <w:sz w:val="16"/>
          <w:szCs w:val="16"/>
        </w:rPr>
        <w:instrText xml:space="preserve">RLINK "#co_footnote_F8105705367_1"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married couple can have two domiciles, one in a common law and one in a community property state which creates some very strange results.</w:t>
      </w:r>
      <w:bookmarkStart w:id="21" w:name="co_footnoteReference_F9105705367_ID0ECFA"/>
      <w:bookmarkEnd w:id="2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2" w:name="co_g_ID0EJFAE_1"/>
      <w:bookmarkEnd w:id="22"/>
      <w:r>
        <w:rPr>
          <w:rFonts w:ascii="Times New Roman" w:hAnsi="Times New Roman" w:cs="Times New Roman"/>
          <w:color w:val="000000"/>
          <w:sz w:val="20"/>
          <w:szCs w:val="20"/>
        </w:rPr>
        <w:t>The Spanish theory of community property treated marriage as a contract. Usually there existed an implied contract providing that the husband’s domicile at the time of the marri</w:t>
      </w:r>
      <w:r>
        <w:rPr>
          <w:rFonts w:ascii="Times New Roman" w:hAnsi="Times New Roman" w:cs="Times New Roman"/>
          <w:color w:val="000000"/>
          <w:sz w:val="20"/>
          <w:szCs w:val="20"/>
        </w:rPr>
        <w:t xml:space="preserve">age determined the </w:t>
      </w:r>
      <w:bookmarkStart w:id="23" w:name="co_pp_sp_1164_1073_1"/>
      <w:bookmarkEnd w:id="23"/>
      <w:r>
        <w:rPr>
          <w:rFonts w:ascii="Times New Roman" w:hAnsi="Times New Roman" w:cs="Times New Roman"/>
          <w:b/>
          <w:bCs/>
          <w:color w:val="000000"/>
          <w:sz w:val="20"/>
          <w:szCs w:val="20"/>
        </w:rPr>
        <w:t>*1073</w:t>
      </w:r>
      <w:r>
        <w:rPr>
          <w:rFonts w:ascii="Times New Roman" w:hAnsi="Times New Roman" w:cs="Times New Roman"/>
          <w:color w:val="000000"/>
          <w:sz w:val="20"/>
          <w:szCs w:val="20"/>
        </w:rPr>
        <w:t xml:space="preserve"> ownership characteristics of all the couple’s future acquisitions. If the husband’s domicile used a community property system, then community property ownership laws applied to all personal p</w:t>
      </w:r>
      <w:r>
        <w:rPr>
          <w:rFonts w:ascii="Times New Roman" w:hAnsi="Times New Roman" w:cs="Times New Roman"/>
          <w:color w:val="000000"/>
          <w:sz w:val="20"/>
          <w:szCs w:val="20"/>
        </w:rPr>
        <w:t>roperty acquired during the marriage, even if acquired after the couple moved to a common law jurisdiction.</w:t>
      </w:r>
      <w:bookmarkStart w:id="24" w:name="co_footnoteReference_F10105705367_ID0E2F"/>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10</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5" w:name="co_g_ID0ECGAE_1"/>
      <w:bookmarkEnd w:id="25"/>
      <w:r>
        <w:rPr>
          <w:rFonts w:ascii="Times New Roman" w:hAnsi="Times New Roman" w:cs="Times New Roman"/>
          <w:color w:val="000000"/>
          <w:sz w:val="20"/>
          <w:szCs w:val="20"/>
        </w:rPr>
        <w:t>If Indian tribes remain dependent sovereign nations as that concept has been developed in the past,</w:t>
      </w:r>
      <w:bookmarkStart w:id="26" w:name="co_footnoteReference_F11105705367_ID0EIG"/>
      <w:bookmarkEnd w:id="2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then Indian coup</w:t>
      </w:r>
      <w:r>
        <w:rPr>
          <w:rFonts w:ascii="Times New Roman" w:hAnsi="Times New Roman" w:cs="Times New Roman"/>
          <w:color w:val="000000"/>
          <w:sz w:val="20"/>
          <w:szCs w:val="20"/>
        </w:rPr>
        <w:t>les and maybe mixed Indian and non-Indian couples living in Indian country</w:t>
      </w:r>
      <w:bookmarkStart w:id="27" w:name="co_footnoteReference_F12105705367_ID0ELG"/>
      <w:bookmarkEnd w:id="2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will be subject to the community or separate property ru</w:t>
      </w:r>
      <w:r>
        <w:rPr>
          <w:rFonts w:ascii="Times New Roman" w:hAnsi="Times New Roman" w:cs="Times New Roman"/>
          <w:color w:val="000000"/>
          <w:sz w:val="20"/>
          <w:szCs w:val="20"/>
        </w:rPr>
        <w:t>les of the tribe rather than state law, absent Congress’s direct grant of authority to the state.</w:t>
      </w:r>
      <w:bookmarkStart w:id="28" w:name="co_footnoteReference_F13105705367_ID0EPG"/>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13</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29" w:name="co_g_ID0EWGAE_1"/>
      <w:bookmarkEnd w:id="29"/>
      <w:r>
        <w:rPr>
          <w:rFonts w:ascii="Times New Roman" w:hAnsi="Times New Roman" w:cs="Times New Roman"/>
          <w:color w:val="000000"/>
          <w:sz w:val="20"/>
          <w:szCs w:val="20"/>
        </w:rPr>
        <w:t>C</w:t>
      </w:r>
      <w:r>
        <w:rPr>
          <w:rFonts w:ascii="Times New Roman" w:hAnsi="Times New Roman" w:cs="Times New Roman"/>
          <w:color w:val="000000"/>
          <w:sz w:val="20"/>
          <w:szCs w:val="20"/>
        </w:rPr>
        <w:t>ommunity property status affects property ownership in a number of ways. If state community property rules apply in Indian country, then married individuals domiciled in Indian country will co-own non-trust property accumulated after the marriage.</w:t>
      </w:r>
      <w:bookmarkStart w:id="30" w:name="co_footnoteReference_F14105705367_ID0EBH"/>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Under usual community property principles, married individuals co-manage community property.</w:t>
      </w:r>
      <w:bookmarkStart w:id="31" w:name="co_footnoteReference_F15105705367_ID0EGH"/>
      <w:bookmarkEnd w:id="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Neither spouse can dispose of more than half of the community property at death.</w:t>
      </w:r>
      <w:bookmarkStart w:id="32" w:name="co_footnoteReference_F16105705367_ID0ELH"/>
      <w:bookmarkEnd w:id="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w:instrText>
      </w:r>
      <w:r>
        <w:rPr>
          <w:rFonts w:ascii="Times New Roman" w:hAnsi="Times New Roman" w:cs="Times New Roman"/>
          <w:color w:val="000000"/>
          <w:sz w:val="16"/>
          <w:szCs w:val="16"/>
        </w:rPr>
        <w:instrText xml:space="preserve">otnote_F16105705367_1"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Both the decedent’s share of the property and the surviving spouse’s share of the property acquire a new income tax basis no matter which spouse dies first.</w:t>
      </w:r>
      <w:bookmarkStart w:id="33" w:name="co_footnoteReference_F17105705367_ID0EQH"/>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Community property acquired during marriage may, or may not, be partially or fully liable for the separate property debts of either spouse.</w:t>
      </w:r>
      <w:bookmarkStart w:id="34" w:name="co_footnoteReference_F18105705367_ID0EUH"/>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18</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35" w:name="co_g_ID0E2HAE_1"/>
      <w:bookmarkStart w:id="36" w:name="co_pp_sp_1164_1074_1"/>
      <w:bookmarkEnd w:id="35"/>
      <w:bookmarkEnd w:id="36"/>
      <w:r>
        <w:rPr>
          <w:rFonts w:ascii="Times New Roman" w:hAnsi="Times New Roman" w:cs="Times New Roman"/>
          <w:b/>
          <w:bCs/>
          <w:color w:val="000000"/>
          <w:sz w:val="20"/>
          <w:szCs w:val="20"/>
        </w:rPr>
        <w:t>*1074</w:t>
      </w:r>
      <w:r>
        <w:rPr>
          <w:rFonts w:ascii="Times New Roman" w:hAnsi="Times New Roman" w:cs="Times New Roman"/>
          <w:color w:val="000000"/>
          <w:sz w:val="20"/>
          <w:szCs w:val="20"/>
        </w:rPr>
        <w:t xml:space="preserve"> For federal income tax purposes, the spouses divide equally the community property income.</w:t>
      </w:r>
      <w:bookmarkStart w:id="37" w:name="co_footnoteReference_F19105705367_ID0EHI"/>
      <w:bookmarkEnd w:id="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"#co_footnote_F19105705367_1"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Usually, each spouse is responsible for the federal tax on his or her half of that community property income.</w:t>
      </w:r>
      <w:bookmarkStart w:id="38" w:name="co_footnoteReference_F20105705367_ID0EMI"/>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 case pending before the United States Tax Court concerns the application of the last community property principle to Indians in Indian country in Public Law 280,</w:t>
      </w:r>
      <w:bookmarkStart w:id="39" w:name="co_footnoteReference_F21105705367_ID0EPI"/>
      <w:bookmarkEnd w:id="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community property states. The Tax Court certified the principal community property issue involved in the case to the Washington State Supreme</w:t>
      </w:r>
      <w:r>
        <w:rPr>
          <w:rFonts w:ascii="Times New Roman" w:hAnsi="Times New Roman" w:cs="Times New Roman"/>
          <w:color w:val="000000"/>
          <w:sz w:val="20"/>
          <w:szCs w:val="20"/>
        </w:rPr>
        <w:t xml:space="preserve"> Court.</w:t>
      </w:r>
      <w:bookmarkStart w:id="40" w:name="co_footnoteReference_F22105705367_ID0EWI"/>
      <w:bookmarkEnd w:id="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22</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1" w:name="co_g_ID0E4IAE_1"/>
      <w:bookmarkEnd w:id="41"/>
      <w:r>
        <w:rPr>
          <w:rFonts w:ascii="Times New Roman" w:hAnsi="Times New Roman" w:cs="Times New Roman"/>
          <w:color w:val="000000"/>
          <w:sz w:val="20"/>
          <w:szCs w:val="20"/>
        </w:rPr>
        <w:t>As a general rule, states have very limited authority, civil or criminal, over Indian reser</w:t>
      </w:r>
      <w:r>
        <w:rPr>
          <w:rFonts w:ascii="Times New Roman" w:hAnsi="Times New Roman" w:cs="Times New Roman"/>
          <w:color w:val="000000"/>
          <w:sz w:val="20"/>
          <w:szCs w:val="20"/>
        </w:rPr>
        <w:t>vations.</w:t>
      </w:r>
      <w:bookmarkStart w:id="42" w:name="co_footnoteReference_F23105705367_ID0EFJ"/>
      <w:bookmarkEnd w:id="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led to concern about </w:t>
      </w:r>
      <w:r>
        <w:rPr>
          <w:rFonts w:ascii="Times New Roman" w:hAnsi="Times New Roman" w:cs="Times New Roman"/>
          <w:color w:val="000000"/>
          <w:sz w:val="20"/>
          <w:szCs w:val="20"/>
        </w:rPr>
        <w:t>“</w:t>
      </w:r>
      <w:r>
        <w:rPr>
          <w:rFonts w:ascii="Times New Roman" w:hAnsi="Times New Roman" w:cs="Times New Roman"/>
          <w:color w:val="000000"/>
          <w:sz w:val="20"/>
          <w:szCs w:val="20"/>
        </w:rPr>
        <w:t>law and order</w:t>
      </w:r>
      <w:r>
        <w:rPr>
          <w:rFonts w:ascii="Times New Roman" w:hAnsi="Times New Roman" w:cs="Times New Roman"/>
          <w:color w:val="000000"/>
          <w:sz w:val="20"/>
          <w:szCs w:val="20"/>
        </w:rPr>
        <w:t>”</w:t>
      </w:r>
      <w:bookmarkStart w:id="43" w:name="co_footnoteReference_F24105705367_ID0EIJ"/>
      <w:bookmarkEnd w:id="4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w:instrText>
      </w:r>
      <w:r>
        <w:rPr>
          <w:rFonts w:ascii="Times New Roman" w:hAnsi="Times New Roman" w:cs="Times New Roman"/>
          <w:color w:val="000000"/>
          <w:sz w:val="16"/>
          <w:szCs w:val="16"/>
        </w:rPr>
        <w:instrText xml:space="preserve">YPERLINK "#co_footnote_F24105705367_1"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which in turn led to the 1953 Congressional enactment of Public Law 280.</w:t>
      </w:r>
      <w:bookmarkStart w:id="44" w:name="co_footnoteReference_F25105705367_ID0ENJ"/>
      <w:bookmarkEnd w:id="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statute provides, in pertinent part:</w:t>
      </w:r>
    </w:p>
    <w:p w:rsidR="00000000" w:rsidRDefault="00A147FB">
      <w:pPr>
        <w:widowControl w:val="0"/>
        <w:autoSpaceDE w:val="0"/>
        <w:autoSpaceDN w:val="0"/>
        <w:adjustRightInd w:val="0"/>
        <w:spacing w:after="0" w:line="240" w:lineRule="auto"/>
        <w:ind w:left="700" w:right="400"/>
        <w:jc w:val="both"/>
        <w:rPr>
          <w:rFonts w:ascii="Times New Roman" w:hAnsi="Times New Roman" w:cs="Times New Roman"/>
          <w:color w:val="000000"/>
          <w:sz w:val="16"/>
          <w:szCs w:val="16"/>
        </w:rPr>
      </w:pPr>
      <w:r>
        <w:rPr>
          <w:rFonts w:ascii="Times New Roman" w:hAnsi="Times New Roman" w:cs="Times New Roman"/>
          <w:color w:val="000000"/>
          <w:sz w:val="20"/>
          <w:szCs w:val="20"/>
        </w:rPr>
        <w:t>The consent of the United States is hereby given to any State not having jurisdiction over civil causes of action between Indians or to which Indians are parties which arise in the areas of Indian country situated</w:t>
      </w:r>
      <w:r>
        <w:rPr>
          <w:rFonts w:ascii="Times New Roman" w:hAnsi="Times New Roman" w:cs="Times New Roman"/>
          <w:color w:val="000000"/>
          <w:sz w:val="20"/>
          <w:szCs w:val="20"/>
        </w:rPr>
        <w:t xml:space="preserve"> within such State to assume . . . such measure of jurisdiction over any or all such civil causes of action arising within such Indian country . . . as may be determined by such State to the same extent that such State has jurisdiction over other civil cau</w:t>
      </w:r>
      <w:r>
        <w:rPr>
          <w:rFonts w:ascii="Times New Roman" w:hAnsi="Times New Roman" w:cs="Times New Roman"/>
          <w:color w:val="000000"/>
          <w:sz w:val="20"/>
          <w:szCs w:val="20"/>
        </w:rPr>
        <w:t>ses of action, and those civil laws of such State that are of general application to private persons or private property shall have the same force and effect within such Indian country . . . as they have elsewhere within that State.</w:t>
      </w:r>
      <w:bookmarkStart w:id="45" w:name="co_footnoteReference_F26105705367_ID0E4J"/>
      <w:bookmarkEnd w:id="4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26</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46" w:name="co_g_ID0EHKAE_1"/>
      <w:bookmarkStart w:id="47" w:name="co_pp_sp_1164_1075_1"/>
      <w:bookmarkEnd w:id="46"/>
      <w:bookmarkEnd w:id="47"/>
      <w:r>
        <w:rPr>
          <w:rFonts w:ascii="Times New Roman" w:hAnsi="Times New Roman" w:cs="Times New Roman"/>
          <w:b/>
          <w:bCs/>
          <w:color w:val="000000"/>
          <w:sz w:val="20"/>
          <w:szCs w:val="20"/>
        </w:rPr>
        <w:t>*1075 III. PUBLIC LAW 280 STATES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48" w:name="co_g_ID0EVKAE_1"/>
      <w:bookmarkEnd w:id="48"/>
      <w:r>
        <w:rPr>
          <w:rFonts w:ascii="Times New Roman" w:hAnsi="Times New Roman" w:cs="Times New Roman"/>
          <w:color w:val="000000"/>
          <w:sz w:val="20"/>
          <w:szCs w:val="20"/>
        </w:rPr>
        <w:t>Originally, Publi</w:t>
      </w:r>
      <w:r>
        <w:rPr>
          <w:rFonts w:ascii="Times New Roman" w:hAnsi="Times New Roman" w:cs="Times New Roman"/>
          <w:color w:val="000000"/>
          <w:sz w:val="20"/>
          <w:szCs w:val="20"/>
        </w:rPr>
        <w:t>c Law 280 required five states: California, Minnesota, Nebraska, Oregon, and Wisconsin, to assume criminal and civil jurisdiction over Indians within those states.</w:t>
      </w:r>
      <w:bookmarkStart w:id="49" w:name="co_footnoteReference_F27105705367_ID0E4K"/>
      <w:bookmarkEnd w:id="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o_footnote_F27105705367_1"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Congress later required Alaska to assume criminal and civil jurisdiction over Indians in Alaska.</w:t>
      </w:r>
      <w:bookmarkStart w:id="50" w:name="co_footnoteReference_F28105705367_ID0ECL"/>
      <w:bookmarkEnd w:id="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w:t>
      </w:r>
      <w:r>
        <w:rPr>
          <w:rFonts w:ascii="Times New Roman" w:hAnsi="Times New Roman" w:cs="Times New Roman"/>
          <w:color w:val="000000"/>
          <w:sz w:val="20"/>
          <w:szCs w:val="20"/>
        </w:rPr>
        <w:t>ublic Law 280 permitted other states to assume criminal and civil jurisdiction over the Indians in their states.</w:t>
      </w:r>
      <w:bookmarkStart w:id="51" w:name="co_footnoteReference_F29105705367_ID0EGL"/>
      <w:bookmarkEnd w:id="5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"#co_footnote_F29105705367_1"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29</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52" w:name="co_g_ID0ENLAE_1"/>
      <w:bookmarkEnd w:id="52"/>
      <w:r>
        <w:rPr>
          <w:rFonts w:ascii="Times New Roman" w:hAnsi="Times New Roman" w:cs="Times New Roman"/>
          <w:color w:val="000000"/>
          <w:sz w:val="20"/>
          <w:szCs w:val="20"/>
        </w:rPr>
        <w:t>Idaho,</w:t>
      </w:r>
      <w:bookmarkStart w:id="53" w:name="co_footnoteReference_F30105705367_ID0ETL"/>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Washington</w:t>
      </w:r>
      <w:bookmarkStart w:id="54" w:name="co_footnoteReference_F31105705367_ID0EWL"/>
      <w:bookmarkEnd w:id="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w:instrText>
      </w:r>
      <w:r>
        <w:rPr>
          <w:rFonts w:ascii="Times New Roman" w:hAnsi="Times New Roman" w:cs="Times New Roman"/>
          <w:color w:val="000000"/>
          <w:sz w:val="16"/>
          <w:szCs w:val="16"/>
        </w:rPr>
        <w:instrText xml:space="preserve">ote_F31105705367_1"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Arizona</w:t>
      </w:r>
      <w:bookmarkStart w:id="55" w:name="co_footnoteReference_F32105705367_ID0EZL"/>
      <w:bookmarkEnd w:id="5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assumed partial civil and criminal jurisdiction over the Indian tribes within their states.</w:t>
      </w:r>
      <w:bookmarkStart w:id="56" w:name="co_footnoteReference_F33105705367_ID0E5L"/>
      <w:bookmarkEnd w:id="5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bookmarkStart w:id="57" w:name="co_pp_sp_1164_1076_1"/>
      <w:bookmarkEnd w:id="57"/>
      <w:r>
        <w:rPr>
          <w:rFonts w:ascii="Times New Roman" w:hAnsi="Times New Roman" w:cs="Times New Roman"/>
          <w:b/>
          <w:bCs/>
          <w:color w:val="000000"/>
          <w:sz w:val="20"/>
          <w:szCs w:val="20"/>
        </w:rPr>
        <w:t>*1076</w:t>
      </w:r>
      <w:r>
        <w:rPr>
          <w:rFonts w:ascii="Times New Roman" w:hAnsi="Times New Roman" w:cs="Times New Roman"/>
          <w:color w:val="000000"/>
          <w:sz w:val="20"/>
          <w:szCs w:val="20"/>
        </w:rPr>
        <w:t xml:space="preserve"> In 1968, Congress changed the requirements for an elective state to assume civil and c</w:t>
      </w:r>
      <w:r>
        <w:rPr>
          <w:rFonts w:ascii="Times New Roman" w:hAnsi="Times New Roman" w:cs="Times New Roman"/>
          <w:color w:val="000000"/>
          <w:sz w:val="20"/>
          <w:szCs w:val="20"/>
        </w:rPr>
        <w:t>riminal jurisdiction over the Indians within their states. An elective state now must acquire the consent of an Indian tribe before assuming civil or criminal jurisdiction over the Indians of the Tribe.</w:t>
      </w:r>
      <w:bookmarkStart w:id="58" w:name="co_footnoteReference_F34105705367_ID0ELM"/>
      <w:bookmarkEnd w:id="5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If Public Law 280 permits Public Law 280 states</w:t>
      </w:r>
      <w:bookmarkStart w:id="59" w:name="co_footnoteReference_F35105705367_ID0EOM"/>
      <w:bookmarkEnd w:id="5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apply th</w:t>
      </w:r>
      <w:r>
        <w:rPr>
          <w:rFonts w:ascii="Times New Roman" w:hAnsi="Times New Roman" w:cs="Times New Roman"/>
          <w:color w:val="000000"/>
          <w:sz w:val="20"/>
          <w:szCs w:val="20"/>
        </w:rPr>
        <w:t>eir state civil law to Indians living in Indian country, then arguably, state community property laws govern property ownership on reservations in the community property states.</w:t>
      </w:r>
      <w:bookmarkStart w:id="60" w:name="co_footnoteReference_F36105705367_ID0ESM"/>
      <w:bookmarkEnd w:id="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36</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1" w:name="co_g_ID0EZMAE_1"/>
      <w:bookmarkEnd w:id="61"/>
      <w:r>
        <w:rPr>
          <w:rFonts w:ascii="Times New Roman" w:hAnsi="Times New Roman" w:cs="Times New Roman"/>
          <w:color w:val="000000"/>
          <w:sz w:val="20"/>
          <w:szCs w:val="20"/>
        </w:rPr>
        <w:lastRenderedPageBreak/>
        <w:t>Two reasonable interpretations of Public Law 280 provide for different outcomes in determining whether Public Law 280 states’ community or separate property laws apply to Indian</w:t>
      </w:r>
      <w:r>
        <w:rPr>
          <w:rFonts w:ascii="Times New Roman" w:hAnsi="Times New Roman" w:cs="Times New Roman"/>
          <w:color w:val="000000"/>
          <w:sz w:val="20"/>
          <w:szCs w:val="20"/>
        </w:rPr>
        <w:t>s in Indian country. One interpretation provides that all substantive laws of Public Law 280 states apply, including substantive rules of property ownership. The other interpretation of Public Law 280 merely allows Public Law 280 states to assume jurisdict</w:t>
      </w:r>
      <w:r>
        <w:rPr>
          <w:rFonts w:ascii="Times New Roman" w:hAnsi="Times New Roman" w:cs="Times New Roman"/>
          <w:color w:val="000000"/>
          <w:sz w:val="20"/>
          <w:szCs w:val="20"/>
        </w:rPr>
        <w:t>ion to determine the outcome of civil disputes arising on the reservations.</w:t>
      </w:r>
      <w:bookmarkStart w:id="62" w:name="co_footnoteReference_F37105705367_ID0EGN"/>
      <w:bookmarkEnd w:id="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37</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3" w:name="co_g_ID0ENNAE_1"/>
      <w:bookmarkEnd w:id="63"/>
      <w:r>
        <w:rPr>
          <w:rFonts w:ascii="Times New Roman" w:hAnsi="Times New Roman" w:cs="Times New Roman"/>
          <w:color w:val="000000"/>
          <w:sz w:val="20"/>
          <w:szCs w:val="20"/>
        </w:rPr>
        <w:t>Some writers believe th</w:t>
      </w:r>
      <w:r>
        <w:rPr>
          <w:rFonts w:ascii="Times New Roman" w:hAnsi="Times New Roman" w:cs="Times New Roman"/>
          <w:color w:val="000000"/>
          <w:sz w:val="20"/>
          <w:szCs w:val="20"/>
        </w:rPr>
        <w:t xml:space="preserve">at the Public Law 280 states can apply their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civil laws . . . of general application to private persons or private property’ . . . includ(ing) the laws of contract, tort, marriage, divorce, insanity, descent, etc.</w:t>
      </w:r>
      <w:r>
        <w:rPr>
          <w:rFonts w:ascii="Times New Roman" w:hAnsi="Times New Roman" w:cs="Times New Roman"/>
          <w:color w:val="000000"/>
          <w:sz w:val="20"/>
          <w:szCs w:val="20"/>
        </w:rPr>
        <w:t>”</w:t>
      </w:r>
      <w:bookmarkStart w:id="64" w:name="co_footnoteReference_F38105705367_ID0EAO"/>
      <w:bookmarkEnd w:id="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38</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5" w:name="co_g_ID0EHOAE_1"/>
      <w:bookmarkEnd w:id="65"/>
      <w:r>
        <w:rPr>
          <w:rFonts w:ascii="Times New Roman" w:hAnsi="Times New Roman" w:cs="Times New Roman"/>
          <w:color w:val="000000"/>
          <w:sz w:val="20"/>
          <w:szCs w:val="20"/>
        </w:rPr>
        <w:t xml:space="preserve">Other commentators, supported by case law, believe that Public </w:t>
      </w:r>
      <w:bookmarkStart w:id="66" w:name="co_pp_sp_1164_1077_1"/>
      <w:bookmarkEnd w:id="66"/>
      <w:r>
        <w:rPr>
          <w:rFonts w:ascii="Times New Roman" w:hAnsi="Times New Roman" w:cs="Times New Roman"/>
          <w:b/>
          <w:bCs/>
          <w:color w:val="000000"/>
          <w:sz w:val="20"/>
          <w:szCs w:val="20"/>
        </w:rPr>
        <w:t>*1077</w:t>
      </w:r>
      <w:r>
        <w:rPr>
          <w:rFonts w:ascii="Times New Roman" w:hAnsi="Times New Roman" w:cs="Times New Roman"/>
          <w:color w:val="000000"/>
          <w:sz w:val="20"/>
          <w:szCs w:val="20"/>
        </w:rPr>
        <w:t xml:space="preserve"> Law 280 only permits states </w:t>
      </w:r>
      <w:r>
        <w:rPr>
          <w:rFonts w:ascii="Times New Roman" w:hAnsi="Times New Roman" w:cs="Times New Roman"/>
          <w:color w:val="000000"/>
          <w:sz w:val="20"/>
          <w:szCs w:val="20"/>
        </w:rPr>
        <w:t>to adjudicate matters between two Indians arising in Indian country.</w:t>
      </w:r>
      <w:bookmarkStart w:id="67" w:name="co_footnoteReference_F39105705367_ID0EUO"/>
      <w:bookmarkEnd w:id="6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"#co_footnote_F39105705367_1"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Then the only difference between Public Law 280 states and non-Public Law 280 states would be a Public Law 280 state’s authority to adjudicate disputes arising between Indians within Indian country.</w:t>
      </w:r>
      <w:bookmarkStart w:id="68" w:name="co_footnoteReference_F40105705367_ID0EYO"/>
      <w:bookmarkEnd w:id="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40</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69" w:name="co_g_ID0E6OAE_1"/>
      <w:bookmarkEnd w:id="69"/>
      <w:r>
        <w:rPr>
          <w:rFonts w:ascii="Times New Roman" w:hAnsi="Times New Roman" w:cs="Times New Roman"/>
          <w:color w:val="000000"/>
          <w:sz w:val="20"/>
          <w:szCs w:val="20"/>
        </w:rPr>
        <w:t xml:space="preserve">The statutory language which provides, </w:t>
      </w:r>
      <w:r>
        <w:rPr>
          <w:rFonts w:ascii="Times New Roman" w:hAnsi="Times New Roman" w:cs="Times New Roman"/>
          <w:color w:val="000000"/>
          <w:sz w:val="20"/>
          <w:szCs w:val="20"/>
        </w:rPr>
        <w:t>“</w:t>
      </w:r>
      <w:r>
        <w:rPr>
          <w:rFonts w:ascii="Times New Roman" w:hAnsi="Times New Roman" w:cs="Times New Roman"/>
          <w:color w:val="000000"/>
          <w:sz w:val="20"/>
          <w:szCs w:val="20"/>
        </w:rPr>
        <w:t>civil laws of such State that are of general application to private persons or private property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seems to give the </w:t>
      </w:r>
      <w:r>
        <w:rPr>
          <w:rFonts w:ascii="Times New Roman" w:hAnsi="Times New Roman" w:cs="Times New Roman"/>
          <w:color w:val="000000"/>
          <w:sz w:val="20"/>
          <w:szCs w:val="20"/>
        </w:rPr>
        <w:t>Public Law 280 states power to apply their civil laws to Indians on or off the reservation. If that is so, tribal ordinances or customs control only if tribal customs or ordinances are not inconsistent with any applicable civil law of the State that applie</w:t>
      </w:r>
      <w:r>
        <w:rPr>
          <w:rFonts w:ascii="Times New Roman" w:hAnsi="Times New Roman" w:cs="Times New Roman"/>
          <w:color w:val="000000"/>
          <w:sz w:val="20"/>
          <w:szCs w:val="20"/>
        </w:rPr>
        <w:t xml:space="preserve">s under </w:t>
      </w:r>
      <w:hyperlink r:id="rId31" w:history="1">
        <w:r>
          <w:rPr>
            <w:rFonts w:ascii="Times New Roman" w:hAnsi="Times New Roman" w:cs="Times New Roman"/>
            <w:color w:val="0000FF"/>
            <w:sz w:val="20"/>
            <w:szCs w:val="20"/>
          </w:rPr>
          <w:t>28 U.S.C. S 1360</w:t>
        </w:r>
      </w:hyperlink>
      <w:r>
        <w:rPr>
          <w:rFonts w:ascii="Times New Roman" w:hAnsi="Times New Roman" w:cs="Times New Roman"/>
          <w:color w:val="000000"/>
          <w:sz w:val="20"/>
          <w:szCs w:val="20"/>
        </w:rPr>
        <w:t>.</w:t>
      </w:r>
      <w:bookmarkStart w:id="70" w:name="co_footnoteReference_F41105705367_ID0E1P"/>
      <w:bookmarkEnd w:id="7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41</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1" w:name="co_g_ID0EBQAE_1"/>
      <w:bookmarkEnd w:id="71"/>
      <w:r>
        <w:rPr>
          <w:rFonts w:ascii="Times New Roman" w:hAnsi="Times New Roman" w:cs="Times New Roman"/>
          <w:color w:val="000000"/>
          <w:sz w:val="20"/>
          <w:szCs w:val="20"/>
        </w:rPr>
        <w:t>But even if the language seems clear, it is not. In a case involving the power of the State of Minnesota to levy a personal property tax on a trailer home owned by an Indian and located on the Leech Creek reservation, the United States Supreme Court conclu</w:t>
      </w:r>
      <w:r>
        <w:rPr>
          <w:rFonts w:ascii="Times New Roman" w:hAnsi="Times New Roman" w:cs="Times New Roman"/>
          <w:color w:val="000000"/>
          <w:sz w:val="20"/>
          <w:szCs w:val="20"/>
        </w:rPr>
        <w:t>ded that Public Law 280 does not mean what it says.</w:t>
      </w:r>
      <w:bookmarkStart w:id="72" w:name="co_footnoteReference_F42105705367_ID0ELQ"/>
      <w:bookmarkEnd w:id="7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42</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3" w:name="co_g_ID0ESQAE_1"/>
      <w:bookmarkEnd w:id="73"/>
      <w:r>
        <w:rPr>
          <w:rFonts w:ascii="Times New Roman" w:hAnsi="Times New Roman" w:cs="Times New Roman"/>
          <w:color w:val="000000"/>
          <w:sz w:val="20"/>
          <w:szCs w:val="20"/>
        </w:rPr>
        <w:t>Bryan v. Itasca County, Minnesota, a personal p</w:t>
      </w:r>
      <w:r>
        <w:rPr>
          <w:rFonts w:ascii="Times New Roman" w:hAnsi="Times New Roman" w:cs="Times New Roman"/>
          <w:color w:val="000000"/>
          <w:sz w:val="20"/>
          <w:szCs w:val="20"/>
        </w:rPr>
        <w:t>roperty tax case, held that state property taxes were inapplicable to reservation Indians.</w:t>
      </w:r>
      <w:bookmarkStart w:id="74" w:name="co_footnoteReference_F43105705367_ID0E1Q"/>
      <w:bookmarkEnd w:id="7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observed that the background o</w:t>
      </w:r>
      <w:r>
        <w:rPr>
          <w:rFonts w:ascii="Times New Roman" w:hAnsi="Times New Roman" w:cs="Times New Roman"/>
          <w:color w:val="000000"/>
          <w:sz w:val="20"/>
          <w:szCs w:val="20"/>
        </w:rPr>
        <w:t>f Public Law 280 suggested a less sweeping interpretation than the statute itself might indicate:</w:t>
      </w:r>
    </w:p>
    <w:p w:rsidR="00000000" w:rsidRDefault="00A147FB">
      <w:pPr>
        <w:widowControl w:val="0"/>
        <w:autoSpaceDE w:val="0"/>
        <w:autoSpaceDN w:val="0"/>
        <w:adjustRightInd w:val="0"/>
        <w:spacing w:after="0" w:line="240" w:lineRule="auto"/>
        <w:ind w:left="700" w:right="400"/>
        <w:jc w:val="both"/>
        <w:rPr>
          <w:rFonts w:ascii="Times New Roman" w:hAnsi="Times New Roman" w:cs="Times New Roman"/>
          <w:color w:val="000000"/>
          <w:sz w:val="16"/>
          <w:szCs w:val="16"/>
        </w:rPr>
      </w:pPr>
      <w:r>
        <w:rPr>
          <w:rFonts w:ascii="Times New Roman" w:hAnsi="Times New Roman" w:cs="Times New Roman"/>
          <w:color w:val="000000"/>
          <w:sz w:val="20"/>
          <w:szCs w:val="20"/>
        </w:rPr>
        <w:t>Piecing together as best we can the sparse legislative history of S 4, subsection (a) seems to have been primarily intended to redress the lack of adequate In</w:t>
      </w:r>
      <w:r>
        <w:rPr>
          <w:rFonts w:ascii="Times New Roman" w:hAnsi="Times New Roman" w:cs="Times New Roman"/>
          <w:color w:val="000000"/>
          <w:sz w:val="20"/>
          <w:szCs w:val="20"/>
        </w:rPr>
        <w:t xml:space="preserve">dian forums for resolving private legal disputes between reservation Indians, and between Indians and other private citizens, by permitting the courts of the States to decide such disputes. . . . With this as the primary focus of S 4 (a), the wording that </w:t>
      </w:r>
      <w:r>
        <w:rPr>
          <w:rFonts w:ascii="Times New Roman" w:hAnsi="Times New Roman" w:cs="Times New Roman"/>
          <w:color w:val="000000"/>
          <w:sz w:val="20"/>
          <w:szCs w:val="20"/>
        </w:rPr>
        <w:t xml:space="preserve">follows in S 4 (a) -- </w:t>
      </w:r>
      <w:r>
        <w:rPr>
          <w:rFonts w:ascii="Times New Roman" w:hAnsi="Times New Roman" w:cs="Times New Roman"/>
          <w:color w:val="000000"/>
          <w:sz w:val="20"/>
          <w:szCs w:val="20"/>
        </w:rPr>
        <w:t>•</w:t>
      </w:r>
      <w:r>
        <w:rPr>
          <w:rFonts w:ascii="Times New Roman" w:hAnsi="Times New Roman" w:cs="Times New Roman"/>
          <w:color w:val="000000"/>
          <w:sz w:val="20"/>
          <w:szCs w:val="20"/>
        </w:rPr>
        <w:t>and those civil laws of such States . . . that are of general application to private persons or private property shall have the same force and effect within such Indian country as they have elsewhere within the State’ -- authorizes a</w:t>
      </w:r>
      <w:r>
        <w:rPr>
          <w:rFonts w:ascii="Times New Roman" w:hAnsi="Times New Roman" w:cs="Times New Roman"/>
          <w:color w:val="000000"/>
          <w:sz w:val="20"/>
          <w:szCs w:val="20"/>
        </w:rPr>
        <w:t>pplication by the state courts of their rules of decision to decide such disputes. . . .</w:t>
      </w:r>
      <w:bookmarkStart w:id="75" w:name="co_footnoteReference_F44105705367_ID0EOR"/>
      <w:bookmarkEnd w:id="7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44</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76" w:name="co_g_ID0EYRAE_1"/>
      <w:bookmarkStart w:id="77" w:name="co_pp_sp_1164_1078_1"/>
      <w:bookmarkEnd w:id="76"/>
      <w:bookmarkEnd w:id="77"/>
      <w:r>
        <w:rPr>
          <w:rFonts w:ascii="Times New Roman" w:hAnsi="Times New Roman" w:cs="Times New Roman"/>
          <w:b/>
          <w:bCs/>
          <w:color w:val="000000"/>
          <w:sz w:val="20"/>
          <w:szCs w:val="20"/>
        </w:rPr>
        <w:t>*1078</w:t>
      </w:r>
      <w:r>
        <w:rPr>
          <w:rFonts w:ascii="Times New Roman" w:hAnsi="Times New Roman" w:cs="Times New Roman"/>
          <w:color w:val="000000"/>
          <w:sz w:val="20"/>
          <w:szCs w:val="20"/>
        </w:rPr>
        <w:t xml:space="preserve"> The Court concluded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 . . the primary intent of S 4 was to grant jurisdiction over private civil litigation involving reservation Indians in state court.</w:t>
      </w:r>
      <w:r>
        <w:rPr>
          <w:rFonts w:ascii="Times New Roman" w:hAnsi="Times New Roman" w:cs="Times New Roman"/>
          <w:color w:val="000000"/>
          <w:sz w:val="20"/>
          <w:szCs w:val="20"/>
        </w:rPr>
        <w:t>”</w:t>
      </w:r>
      <w:bookmarkStart w:id="78" w:name="co_footnoteReference_F45105705367_ID0EMS"/>
      <w:bookmarkEnd w:id="7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45</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9" w:name="co_g_ID0ETSAE_1"/>
      <w:bookmarkEnd w:id="79"/>
      <w:r>
        <w:rPr>
          <w:rFonts w:ascii="Times New Roman" w:hAnsi="Times New Roman" w:cs="Times New Roman"/>
          <w:color w:val="000000"/>
          <w:sz w:val="20"/>
          <w:szCs w:val="20"/>
        </w:rPr>
        <w:t>To further complicated matters, several states, including Washington, limited their acceptance of jurisdiction over civil matters to specific areas.</w:t>
      </w:r>
      <w:bookmarkStart w:id="80" w:name="co_footnoteReference_F46105705367_ID0E2S"/>
      <w:bookmarkEnd w:id="8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By its terms, the Washington statute seems to be limited to jurisdiction, rather than referring to substantive civil law. But if the allu</w:t>
      </w:r>
      <w:r>
        <w:rPr>
          <w:rFonts w:ascii="Times New Roman" w:hAnsi="Times New Roman" w:cs="Times New Roman"/>
          <w:color w:val="000000"/>
          <w:sz w:val="20"/>
          <w:szCs w:val="20"/>
        </w:rPr>
        <w:t xml:space="preserve">sion to </w:t>
      </w:r>
      <w:r>
        <w:rPr>
          <w:rFonts w:ascii="Times New Roman" w:hAnsi="Times New Roman" w:cs="Times New Roman"/>
          <w:color w:val="000000"/>
          <w:sz w:val="20"/>
          <w:szCs w:val="20"/>
        </w:rPr>
        <w:t>“</w:t>
      </w:r>
      <w:r>
        <w:rPr>
          <w:rFonts w:ascii="Times New Roman" w:hAnsi="Times New Roman" w:cs="Times New Roman"/>
          <w:color w:val="000000"/>
          <w:sz w:val="20"/>
          <w:szCs w:val="20"/>
        </w:rPr>
        <w:t>domestic relations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includes all of Chapter 26 of the Revised Code of Washington, that chapter, which includes the Washington community property rules, may bring community property principles onto the reservations within Washington State.</w:t>
      </w:r>
      <w:bookmarkStart w:id="81" w:name="co_footnoteReference_F47105705367_ID0EDT"/>
      <w:bookmarkEnd w:id="8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term </w:t>
      </w:r>
      <w:r>
        <w:rPr>
          <w:rFonts w:ascii="Times New Roman" w:hAnsi="Times New Roman" w:cs="Times New Roman"/>
          <w:color w:val="000000"/>
          <w:sz w:val="20"/>
          <w:szCs w:val="20"/>
        </w:rPr>
        <w:t>“</w:t>
      </w:r>
      <w:r>
        <w:rPr>
          <w:rFonts w:ascii="Times New Roman" w:hAnsi="Times New Roman" w:cs="Times New Roman"/>
          <w:color w:val="000000"/>
          <w:sz w:val="20"/>
          <w:szCs w:val="20"/>
        </w:rPr>
        <w:t>Domestic Relations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has a more limited definition in popular usage: </w:t>
      </w:r>
      <w:r>
        <w:rPr>
          <w:rFonts w:ascii="Times New Roman" w:hAnsi="Times New Roman" w:cs="Times New Roman"/>
          <w:color w:val="000000"/>
          <w:sz w:val="20"/>
          <w:szCs w:val="20"/>
        </w:rPr>
        <w:t>“</w:t>
      </w:r>
      <w:r>
        <w:rPr>
          <w:rFonts w:ascii="Times New Roman" w:hAnsi="Times New Roman" w:cs="Times New Roman"/>
          <w:color w:val="000000"/>
          <w:sz w:val="20"/>
          <w:szCs w:val="20"/>
        </w:rPr>
        <w:t>Domestic Relations: That branch or discipline of the law whi</w:t>
      </w:r>
      <w:r>
        <w:rPr>
          <w:rFonts w:ascii="Times New Roman" w:hAnsi="Times New Roman" w:cs="Times New Roman"/>
          <w:color w:val="000000"/>
          <w:sz w:val="20"/>
          <w:szCs w:val="20"/>
        </w:rPr>
        <w:t>ch deals with matters of the household or family, including divorce, separation, custody, support and adoption.</w:t>
      </w:r>
      <w:r>
        <w:rPr>
          <w:rFonts w:ascii="Times New Roman" w:hAnsi="Times New Roman" w:cs="Times New Roman"/>
          <w:color w:val="000000"/>
          <w:sz w:val="20"/>
          <w:szCs w:val="20"/>
        </w:rPr>
        <w:t>”</w:t>
      </w:r>
      <w:bookmarkStart w:id="82" w:name="co_footnoteReference_F48105705367_ID0ERT"/>
      <w:bookmarkEnd w:id="8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While community pr</w:t>
      </w:r>
      <w:r>
        <w:rPr>
          <w:rFonts w:ascii="Times New Roman" w:hAnsi="Times New Roman" w:cs="Times New Roman"/>
          <w:color w:val="000000"/>
          <w:sz w:val="20"/>
          <w:szCs w:val="20"/>
        </w:rPr>
        <w:t>operty (property ownership) is considered in connection with several of these concepts, it is not usually considered as being directly part of domestic relations under the cited definition.</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3" w:name="co_g_ID0E1TAE_1"/>
      <w:bookmarkEnd w:id="83"/>
      <w:r>
        <w:rPr>
          <w:rFonts w:ascii="Times New Roman" w:hAnsi="Times New Roman" w:cs="Times New Roman"/>
          <w:color w:val="000000"/>
          <w:sz w:val="20"/>
          <w:szCs w:val="20"/>
        </w:rPr>
        <w:t>The statutory language of the Wash</w:t>
      </w:r>
      <w:r>
        <w:rPr>
          <w:rFonts w:ascii="Times New Roman" w:hAnsi="Times New Roman" w:cs="Times New Roman"/>
          <w:color w:val="000000"/>
          <w:sz w:val="20"/>
          <w:szCs w:val="20"/>
        </w:rPr>
        <w:t xml:space="preserve">ington statute claims </w:t>
      </w:r>
      <w:r>
        <w:rPr>
          <w:rFonts w:ascii="Times New Roman" w:hAnsi="Times New Roman" w:cs="Times New Roman"/>
          <w:color w:val="000000"/>
          <w:sz w:val="20"/>
          <w:szCs w:val="20"/>
        </w:rPr>
        <w:t>“</w:t>
      </w:r>
      <w:r>
        <w:rPr>
          <w:rFonts w:ascii="Times New Roman" w:hAnsi="Times New Roman" w:cs="Times New Roman"/>
          <w:color w:val="000000"/>
          <w:sz w:val="20"/>
          <w:szCs w:val="20"/>
        </w:rPr>
        <w:t>jurisdiction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over these matters, not the application of domestic relations rules of property ownership. This corresponds with the interpretation that Public Law 280 provides jurisdiction, not the application of the substantive civil</w:t>
      </w:r>
      <w:r>
        <w:rPr>
          <w:rFonts w:ascii="Times New Roman" w:hAnsi="Times New Roman" w:cs="Times New Roman"/>
          <w:color w:val="000000"/>
          <w:sz w:val="20"/>
          <w:szCs w:val="20"/>
        </w:rPr>
        <w:t xml:space="preserve"> rules.</w:t>
      </w:r>
      <w:bookmarkStart w:id="84" w:name="co_footnoteReference_F49105705367_ID0EEU"/>
      <w:bookmarkEnd w:id="8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"#co_footnote_F49105705367_1"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49</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5" w:name="co_g_ID0ELUAE_1"/>
      <w:bookmarkEnd w:id="85"/>
      <w:r>
        <w:rPr>
          <w:rFonts w:ascii="Times New Roman" w:hAnsi="Times New Roman" w:cs="Times New Roman"/>
          <w:color w:val="000000"/>
          <w:sz w:val="20"/>
          <w:szCs w:val="20"/>
        </w:rPr>
        <w:t>In states where a community property issue involving Indian country arose, the courts appli</w:t>
      </w:r>
      <w:r>
        <w:rPr>
          <w:rFonts w:ascii="Times New Roman" w:hAnsi="Times New Roman" w:cs="Times New Roman"/>
          <w:color w:val="000000"/>
          <w:sz w:val="20"/>
          <w:szCs w:val="20"/>
        </w:rPr>
        <w:t xml:space="preserve">ed community property rules on the reservations, but did not decide whether the community property  </w:t>
      </w:r>
      <w:bookmarkStart w:id="86" w:name="co_pp_sp_1164_1079_1"/>
      <w:bookmarkEnd w:id="86"/>
      <w:r>
        <w:rPr>
          <w:rFonts w:ascii="Times New Roman" w:hAnsi="Times New Roman" w:cs="Times New Roman"/>
          <w:b/>
          <w:bCs/>
          <w:color w:val="000000"/>
          <w:sz w:val="20"/>
          <w:szCs w:val="20"/>
        </w:rPr>
        <w:t>*1079</w:t>
      </w:r>
      <w:r>
        <w:rPr>
          <w:rFonts w:ascii="Times New Roman" w:hAnsi="Times New Roman" w:cs="Times New Roman"/>
          <w:color w:val="000000"/>
          <w:sz w:val="20"/>
          <w:szCs w:val="20"/>
        </w:rPr>
        <w:t xml:space="preserve"> rules of a given state applied on the reservations. The litigants did not raise that particular issue, only the application of state law and state jurisdiction over </w:t>
      </w:r>
      <w:r>
        <w:rPr>
          <w:rFonts w:ascii="Times New Roman" w:hAnsi="Times New Roman" w:cs="Times New Roman"/>
          <w:color w:val="000000"/>
          <w:sz w:val="20"/>
          <w:szCs w:val="20"/>
        </w:rPr>
        <w:lastRenderedPageBreak/>
        <w:t>Indians living in Indian country.</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87" w:name="co_g_ID0E6UAE_1"/>
      <w:bookmarkEnd w:id="87"/>
      <w:r>
        <w:rPr>
          <w:rFonts w:ascii="Times New Roman" w:hAnsi="Times New Roman" w:cs="Times New Roman"/>
          <w:color w:val="000000"/>
          <w:sz w:val="20"/>
          <w:szCs w:val="20"/>
        </w:rPr>
        <w:t xml:space="preserve">A case almost on point, </w:t>
      </w:r>
      <w:r>
        <w:rPr>
          <w:rFonts w:ascii="Times New Roman" w:hAnsi="Times New Roman" w:cs="Times New Roman"/>
          <w:color w:val="000000"/>
          <w:sz w:val="20"/>
          <w:szCs w:val="20"/>
        </w:rPr>
        <w:t>involved business property located on the Makah Indian Tribe reservation in Clallam County, Washington.</w:t>
      </w:r>
      <w:bookmarkStart w:id="88" w:name="co_footnoteReference_F50105705367_ID0EHV"/>
      <w:bookmarkEnd w:id="8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County sought to impose</w:t>
      </w:r>
      <w:r>
        <w:rPr>
          <w:rFonts w:ascii="Times New Roman" w:hAnsi="Times New Roman" w:cs="Times New Roman"/>
          <w:color w:val="000000"/>
          <w:sz w:val="20"/>
          <w:szCs w:val="20"/>
        </w:rPr>
        <w:t xml:space="preserve"> its personal property tax on that property, owned by a tribal Indian and, arguably, by her non-tribal husband.</w:t>
      </w:r>
      <w:bookmarkStart w:id="89" w:name="co_footnoteReference_F51105705367_ID0EMV"/>
      <w:bookmarkEnd w:id="8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County claimed </w:t>
      </w:r>
      <w:r>
        <w:rPr>
          <w:rFonts w:ascii="Times New Roman" w:hAnsi="Times New Roman" w:cs="Times New Roman"/>
          <w:color w:val="000000"/>
          <w:sz w:val="20"/>
          <w:szCs w:val="20"/>
        </w:rPr>
        <w:t>the property was community property under Washington State law principles and subject to the County’s ad valorem personal property tax.</w:t>
      </w:r>
      <w:bookmarkStart w:id="90" w:name="co_footnoteReference_F52105705367_ID0ERV"/>
      <w:bookmarkEnd w:id="9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However, if a Makah tribal member solely owned the property then the County’s ad valorem personal property tax did not apply to the property.</w:t>
      </w:r>
      <w:bookmarkStart w:id="91" w:name="co_footnoteReference_F53105705367_ID0EVV"/>
      <w:bookmarkEnd w:id="9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"#co_footnote_F53105</w:instrText>
      </w:r>
      <w:r>
        <w:rPr>
          <w:rFonts w:ascii="Times New Roman" w:hAnsi="Times New Roman" w:cs="Times New Roman"/>
          <w:color w:val="000000"/>
          <w:sz w:val="16"/>
          <w:szCs w:val="16"/>
        </w:rPr>
        <w:instrText xml:space="preserve">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53</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2" w:name="co_g_ID0E3VAE_1"/>
      <w:bookmarkEnd w:id="92"/>
      <w:r>
        <w:rPr>
          <w:rFonts w:ascii="Times New Roman" w:hAnsi="Times New Roman" w:cs="Times New Roman"/>
          <w:color w:val="000000"/>
          <w:sz w:val="20"/>
          <w:szCs w:val="20"/>
        </w:rPr>
        <w:t>The Washington Supreme Court opined that community property principles were irrelevant to the issue of state or county tax exemption:</w:t>
      </w:r>
    </w:p>
    <w:p w:rsidR="00000000" w:rsidRDefault="00A147FB">
      <w:pPr>
        <w:widowControl w:val="0"/>
        <w:autoSpaceDE w:val="0"/>
        <w:autoSpaceDN w:val="0"/>
        <w:adjustRightInd w:val="0"/>
        <w:spacing w:after="0" w:line="240" w:lineRule="auto"/>
        <w:ind w:left="700" w:right="400"/>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The status of this property, either under the community property statutes </w:t>
      </w:r>
      <w:r>
        <w:rPr>
          <w:rFonts w:ascii="Times New Roman" w:hAnsi="Times New Roman" w:cs="Times New Roman"/>
          <w:color w:val="000000"/>
          <w:sz w:val="20"/>
          <w:szCs w:val="20"/>
        </w:rPr>
        <w:t>or under domestic relations or probate law, has little to do with its taxability here. Ascertaining its status in these areas of the law and the tenure in which held between the spouses sheds little light on whether the county may tax it as personal proper</w:t>
      </w:r>
      <w:r>
        <w:rPr>
          <w:rFonts w:ascii="Times New Roman" w:hAnsi="Times New Roman" w:cs="Times New Roman"/>
          <w:color w:val="000000"/>
          <w:sz w:val="20"/>
          <w:szCs w:val="20"/>
        </w:rPr>
        <w:t>ty while it is permanently located in and used upon the Makah Reservation and under the dominion and control of a tribal Makah. . . .</w:t>
      </w:r>
      <w:bookmarkStart w:id="93" w:name="co_footnoteReference_F54105705367_ID0ETW"/>
      <w:bookmarkEnd w:id="9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54</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4" w:name="co_g_ID0E4WAE_1"/>
      <w:bookmarkEnd w:id="94"/>
      <w:r>
        <w:rPr>
          <w:rFonts w:ascii="Times New Roman" w:hAnsi="Times New Roman" w:cs="Times New Roman"/>
          <w:color w:val="000000"/>
          <w:sz w:val="20"/>
          <w:szCs w:val="20"/>
        </w:rPr>
        <w:t xml:space="preserve">The court also observed that regardless of the property status (which it apparently considered as community property under Washington law), the property was not subject to the ad valorem tax. Under the </w:t>
      </w:r>
      <w:r>
        <w:rPr>
          <w:rFonts w:ascii="Times New Roman" w:hAnsi="Times New Roman" w:cs="Times New Roman"/>
          <w:color w:val="000000"/>
          <w:sz w:val="20"/>
          <w:szCs w:val="20"/>
        </w:rPr>
        <w:t>“</w:t>
      </w:r>
      <w:r>
        <w:rPr>
          <w:rFonts w:ascii="Times New Roman" w:hAnsi="Times New Roman" w:cs="Times New Roman"/>
          <w:color w:val="000000"/>
          <w:sz w:val="20"/>
          <w:szCs w:val="20"/>
        </w:rPr>
        <w:t>customs and usag</w:t>
      </w:r>
      <w:r>
        <w:rPr>
          <w:rFonts w:ascii="Times New Roman" w:hAnsi="Times New Roman" w:cs="Times New Roman"/>
          <w:color w:val="000000"/>
          <w:sz w:val="20"/>
          <w:szCs w:val="20"/>
        </w:rPr>
        <w:t>es of the Makahs,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a Makah tribal member married a non-tribal member, the tribal member controlled what the Washington Court termed </w:t>
      </w:r>
      <w:r>
        <w:rPr>
          <w:rFonts w:ascii="Times New Roman" w:hAnsi="Times New Roman" w:cs="Times New Roman"/>
          <w:color w:val="000000"/>
          <w:sz w:val="20"/>
          <w:szCs w:val="20"/>
        </w:rPr>
        <w:t>“</w:t>
      </w:r>
      <w:r>
        <w:rPr>
          <w:rFonts w:ascii="Times New Roman" w:hAnsi="Times New Roman" w:cs="Times New Roman"/>
          <w:color w:val="000000"/>
          <w:sz w:val="20"/>
          <w:szCs w:val="20"/>
        </w:rPr>
        <w:t>the community property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the reservation.</w:t>
      </w:r>
      <w:bookmarkStart w:id="95" w:name="co_footnoteReference_F55105705367_ID0ERX"/>
      <w:bookmarkEnd w:id="9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stated that the tribal custom and usage was not </w:t>
      </w:r>
      <w:r>
        <w:rPr>
          <w:rFonts w:ascii="Times New Roman" w:hAnsi="Times New Roman" w:cs="Times New Roman"/>
          <w:color w:val="000000"/>
          <w:sz w:val="20"/>
          <w:szCs w:val="20"/>
        </w:rPr>
        <w:t>“</w:t>
      </w:r>
      <w:r>
        <w:rPr>
          <w:rFonts w:ascii="Times New Roman" w:hAnsi="Times New Roman" w:cs="Times New Roman"/>
          <w:color w:val="000000"/>
          <w:sz w:val="20"/>
          <w:szCs w:val="20"/>
        </w:rPr>
        <w:t>inconsistent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 the Washington State statutory, civil law.</w:t>
      </w:r>
      <w:bookmarkStart w:id="96" w:name="co_footnoteReference_F56105705367_ID0EWX"/>
      <w:bookmarkEnd w:id="9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"#co_footnote_F56105705367_1"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court concluded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property for state tax purposes would be </w:t>
      </w:r>
      <w:bookmarkStart w:id="97" w:name="co_pp_sp_1164_1080_1"/>
      <w:bookmarkEnd w:id="97"/>
      <w:r>
        <w:rPr>
          <w:rFonts w:ascii="Times New Roman" w:hAnsi="Times New Roman" w:cs="Times New Roman"/>
          <w:b/>
          <w:bCs/>
          <w:color w:val="000000"/>
          <w:sz w:val="20"/>
          <w:szCs w:val="20"/>
        </w:rPr>
        <w:t>*1080</w:t>
      </w:r>
      <w:r>
        <w:rPr>
          <w:rFonts w:ascii="Times New Roman" w:hAnsi="Times New Roman" w:cs="Times New Roman"/>
          <w:color w:val="000000"/>
          <w:sz w:val="20"/>
          <w:szCs w:val="20"/>
        </w:rPr>
        <w:t xml:space="preserve"> deemed personal property of a tribal Indian.</w:t>
      </w:r>
      <w:r>
        <w:rPr>
          <w:rFonts w:ascii="Times New Roman" w:hAnsi="Times New Roman" w:cs="Times New Roman"/>
          <w:color w:val="000000"/>
          <w:sz w:val="20"/>
          <w:szCs w:val="20"/>
        </w:rPr>
        <w:t>”</w:t>
      </w:r>
      <w:bookmarkStart w:id="98" w:name="co_footnoteReference_F57105705367_ID0EIY"/>
      <w:bookmarkEnd w:id="9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57</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99" w:name="co_g_ID0EPYAE_1"/>
      <w:bookmarkEnd w:id="99"/>
      <w:r>
        <w:rPr>
          <w:rFonts w:ascii="Times New Roman" w:hAnsi="Times New Roman" w:cs="Times New Roman"/>
          <w:color w:val="000000"/>
          <w:sz w:val="20"/>
          <w:szCs w:val="20"/>
        </w:rPr>
        <w:t>This narrow holding does not mean the property was not community property, but merely determines that the tribal members control over the property prohib</w:t>
      </w:r>
      <w:r>
        <w:rPr>
          <w:rFonts w:ascii="Times New Roman" w:hAnsi="Times New Roman" w:cs="Times New Roman"/>
          <w:color w:val="000000"/>
          <w:sz w:val="20"/>
          <w:szCs w:val="20"/>
        </w:rPr>
        <w:t>its the county from imposing an ad valorem tax on it.</w:t>
      </w:r>
      <w:bookmarkStart w:id="100" w:name="co_footnoteReference_F58105705367_ID0EXY"/>
      <w:bookmarkEnd w:id="10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"#co_footnote_F58105705367_1"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Management of community property, the ultimate issue in the Makah case, did n</w:t>
      </w:r>
      <w:r>
        <w:rPr>
          <w:rFonts w:ascii="Times New Roman" w:hAnsi="Times New Roman" w:cs="Times New Roman"/>
          <w:color w:val="000000"/>
          <w:sz w:val="20"/>
          <w:szCs w:val="20"/>
        </w:rPr>
        <w:t>ot prevent the property from being community property. Indeed, under Washington law at the time the case arose, the husband solely managed the community personal property.</w:t>
      </w:r>
      <w:bookmarkStart w:id="101" w:name="co_footnoteReference_F59105705367_ID0E6Y"/>
      <w:bookmarkEnd w:id="1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"#co_footnote_F59105705367_1"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Makah</w:t>
      </w:r>
      <w:bookmarkStart w:id="102" w:name="co_footnoteReference_F60105705367_ID0ECZ"/>
      <w:bookmarkEnd w:id="10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case does not hold that state law cannot determine the status of property locate</w:t>
      </w:r>
      <w:r>
        <w:rPr>
          <w:rFonts w:ascii="Times New Roman" w:hAnsi="Times New Roman" w:cs="Times New Roman"/>
          <w:color w:val="000000"/>
          <w:sz w:val="20"/>
          <w:szCs w:val="20"/>
        </w:rPr>
        <w:t xml:space="preserve">d in Indian country. The property management and control may differ from inside and outside of Indian country, but general community property principles may still apply if Public Law 280 gives a state the power to impose its’ property ownership systems on </w:t>
      </w:r>
      <w:r>
        <w:rPr>
          <w:rFonts w:ascii="Times New Roman" w:hAnsi="Times New Roman" w:cs="Times New Roman"/>
          <w:color w:val="000000"/>
          <w:sz w:val="20"/>
          <w:szCs w:val="20"/>
        </w:rPr>
        <w:t>married couples who reside in Indian Country.</w:t>
      </w:r>
      <w:bookmarkStart w:id="103" w:name="co_footnoteReference_F61105705367_ID0EJZ"/>
      <w:bookmarkEnd w:id="10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61</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04" w:name="co_g_ID0EQZAE_1"/>
      <w:bookmarkEnd w:id="104"/>
      <w:r>
        <w:rPr>
          <w:rFonts w:ascii="Times New Roman" w:hAnsi="Times New Roman" w:cs="Times New Roman"/>
          <w:color w:val="000000"/>
          <w:sz w:val="20"/>
          <w:szCs w:val="20"/>
        </w:rPr>
        <w:t>The only other case directly involving community property issues in a Public Law 280 state was Sheppard v. Sheppard.</w:t>
      </w:r>
      <w:bookmarkStart w:id="105" w:name="co_footnoteReference_F62105705367_ID0EYZ"/>
      <w:bookmarkEnd w:id="10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Sheppard, t</w:t>
      </w:r>
      <w:r>
        <w:rPr>
          <w:rFonts w:ascii="Times New Roman" w:hAnsi="Times New Roman" w:cs="Times New Roman"/>
          <w:color w:val="000000"/>
          <w:sz w:val="20"/>
          <w:szCs w:val="20"/>
        </w:rPr>
        <w:t>he Idaho Supreme Court held that the state had jurisdiction over a divorce action between an Indian and a non-Indian who had lived both on and off the Fort Hall Shoshone-Bannock reservation during their marriage.</w:t>
      </w:r>
      <w:bookmarkStart w:id="106" w:name="co_footnoteReference_F63105705367_ID0E3Z"/>
      <w:bookmarkEnd w:id="10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63</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07" w:name="co_g_ID0ED1AE_1"/>
      <w:bookmarkEnd w:id="107"/>
      <w:r>
        <w:rPr>
          <w:rFonts w:ascii="Times New Roman" w:hAnsi="Times New Roman" w:cs="Times New Roman"/>
          <w:color w:val="000000"/>
          <w:sz w:val="20"/>
          <w:szCs w:val="20"/>
        </w:rPr>
        <w:t>The Idaho Court divided the non-trust real estate and personal property and referred to that property as community property.</w:t>
      </w:r>
      <w:bookmarkStart w:id="108" w:name="co_footnoteReference_F64105705367_ID0EL1"/>
      <w:bookmarkEnd w:id="10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Neither party to the divorce claimed otherwise. However, the tribal member spouse questioned the state court’s authority to divide some of </w:t>
      </w:r>
      <w:r>
        <w:rPr>
          <w:rFonts w:ascii="Times New Roman" w:hAnsi="Times New Roman" w:cs="Times New Roman"/>
          <w:color w:val="000000"/>
          <w:sz w:val="20"/>
          <w:szCs w:val="20"/>
        </w:rPr>
        <w:t xml:space="preserve">the property accumulated during the marriage and located on the  </w:t>
      </w:r>
      <w:bookmarkStart w:id="109" w:name="co_pp_sp_1164_1081_1"/>
      <w:bookmarkEnd w:id="109"/>
      <w:r>
        <w:rPr>
          <w:rFonts w:ascii="Times New Roman" w:hAnsi="Times New Roman" w:cs="Times New Roman"/>
          <w:b/>
          <w:bCs/>
          <w:color w:val="000000"/>
          <w:sz w:val="20"/>
          <w:szCs w:val="20"/>
        </w:rPr>
        <w:t>*1081</w:t>
      </w:r>
      <w:r>
        <w:rPr>
          <w:rFonts w:ascii="Times New Roman" w:hAnsi="Times New Roman" w:cs="Times New Roman"/>
          <w:color w:val="000000"/>
          <w:sz w:val="20"/>
          <w:szCs w:val="20"/>
        </w:rPr>
        <w:t xml:space="preserve"> reservation.</w:t>
      </w:r>
      <w:bookmarkStart w:id="110" w:name="co_footnoteReference_F65105705367_ID0EX1"/>
      <w:bookmarkEnd w:id="1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65</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11" w:name="co_g_ID0E51AE_1"/>
      <w:bookmarkEnd w:id="111"/>
      <w:r>
        <w:rPr>
          <w:rFonts w:ascii="Times New Roman" w:hAnsi="Times New Roman" w:cs="Times New Roman"/>
          <w:color w:val="000000"/>
          <w:sz w:val="20"/>
          <w:szCs w:val="20"/>
        </w:rPr>
        <w:t>The litigants initially agreed that the property in question was community property under Idaho law.</w:t>
      </w:r>
      <w:bookmarkStart w:id="112" w:name="co_footnoteReference_F66105705367_ID0EG2"/>
      <w:bookmarkEnd w:id="1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Mrs. </w:t>
      </w:r>
      <w:r>
        <w:rPr>
          <w:rFonts w:ascii="Times New Roman" w:hAnsi="Times New Roman" w:cs="Times New Roman"/>
          <w:color w:val="000000"/>
          <w:sz w:val="20"/>
          <w:szCs w:val="20"/>
        </w:rPr>
        <w:t>Sheppard later argued that Idaho State Courts lacked jurisdiction over domestic relations matters. The court rejected that argument based upon Idaho’s assumption of jurisdiction under Public Law 280.</w:t>
      </w:r>
      <w:bookmarkStart w:id="113" w:name="co_footnoteReference_F67105705367_ID0EN2"/>
      <w:bookmarkEnd w:id="11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67</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14" w:name="co_g_ID0EU2AE_1"/>
      <w:bookmarkEnd w:id="114"/>
      <w:r>
        <w:rPr>
          <w:rFonts w:ascii="Times New Roman" w:hAnsi="Times New Roman" w:cs="Times New Roman"/>
          <w:color w:val="000000"/>
          <w:sz w:val="20"/>
          <w:szCs w:val="20"/>
        </w:rPr>
        <w:t>The Law and Order Code of the Shoshone-Bannock Tribe of Indians recognized community property.</w:t>
      </w:r>
      <w:bookmarkStart w:id="115" w:name="co_footnoteReference_F68105705367_ID0E32"/>
      <w:bookmarkEnd w:id="11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"#co_footnote_F68105705367_1"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there existed no issue of whether the particular property in question was community property.</w:t>
      </w:r>
      <w:bookmarkStart w:id="116" w:name="co_footnoteReference_F69105705367_ID0EA3"/>
      <w:bookmarkEnd w:id="1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w:instrText>
      </w:r>
      <w:r>
        <w:rPr>
          <w:rFonts w:ascii="Times New Roman" w:hAnsi="Times New Roman" w:cs="Times New Roman"/>
          <w:color w:val="000000"/>
          <w:sz w:val="16"/>
          <w:szCs w:val="16"/>
        </w:rPr>
        <w:instrText xml:space="preserve">co_footnote_F69105705367_1"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69</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17" w:name="co_g_ID0EH3AE_1"/>
      <w:bookmarkEnd w:id="117"/>
      <w:r>
        <w:rPr>
          <w:rFonts w:ascii="Times New Roman" w:hAnsi="Times New Roman" w:cs="Times New Roman"/>
          <w:color w:val="000000"/>
          <w:sz w:val="20"/>
          <w:szCs w:val="20"/>
        </w:rPr>
        <w:t>In a pending case that directly involves the question of whether community property rules apply in Indian Country, the Puyallup Tribal Court determined that Washington State community proper</w:t>
      </w:r>
      <w:r>
        <w:rPr>
          <w:rFonts w:ascii="Times New Roman" w:hAnsi="Times New Roman" w:cs="Times New Roman"/>
          <w:color w:val="000000"/>
          <w:sz w:val="20"/>
          <w:szCs w:val="20"/>
        </w:rPr>
        <w:t>ty laws did not apply on the Puyallup reservation.</w:t>
      </w:r>
      <w:bookmarkStart w:id="118" w:name="co_footnoteReference_F70105705367_ID0EP3"/>
      <w:bookmarkEnd w:id="1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Internal Revenue </w:t>
      </w:r>
      <w:bookmarkStart w:id="119" w:name="co_pp_sp_1164_1082_1"/>
      <w:bookmarkEnd w:id="119"/>
      <w:r>
        <w:rPr>
          <w:rFonts w:ascii="Times New Roman" w:hAnsi="Times New Roman" w:cs="Times New Roman"/>
          <w:b/>
          <w:bCs/>
          <w:color w:val="000000"/>
          <w:sz w:val="20"/>
          <w:szCs w:val="20"/>
        </w:rPr>
        <w:t>*1082</w:t>
      </w:r>
      <w:r>
        <w:rPr>
          <w:rFonts w:ascii="Times New Roman" w:hAnsi="Times New Roman" w:cs="Times New Roman"/>
          <w:color w:val="000000"/>
          <w:sz w:val="20"/>
          <w:szCs w:val="20"/>
        </w:rPr>
        <w:t xml:space="preserve"> Service dispu</w:t>
      </w:r>
      <w:r>
        <w:rPr>
          <w:rFonts w:ascii="Times New Roman" w:hAnsi="Times New Roman" w:cs="Times New Roman"/>
          <w:color w:val="000000"/>
          <w:sz w:val="20"/>
          <w:szCs w:val="20"/>
        </w:rPr>
        <w:t>ted that conclusion. Currently, the matter is pending before the United States Tax Court.</w:t>
      </w:r>
      <w:bookmarkStart w:id="120" w:name="co_footnoteReference_F71105705367_ID0E23"/>
      <w:bookmarkEnd w:id="1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71</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21" w:name="co_g_ID0EC4AE_1"/>
      <w:bookmarkEnd w:id="121"/>
      <w:r>
        <w:rPr>
          <w:rFonts w:ascii="Times New Roman" w:hAnsi="Times New Roman" w:cs="Times New Roman"/>
          <w:color w:val="000000"/>
          <w:sz w:val="20"/>
          <w:szCs w:val="20"/>
        </w:rPr>
        <w:t>The tribe</w:t>
      </w:r>
      <w:r>
        <w:rPr>
          <w:rFonts w:ascii="Times New Roman" w:hAnsi="Times New Roman" w:cs="Times New Roman"/>
          <w:color w:val="000000"/>
          <w:sz w:val="20"/>
          <w:szCs w:val="20"/>
        </w:rPr>
        <w:t xml:space="preserve">s themselves hold inconsistent views regarding whether community property principles apply on reservations </w:t>
      </w:r>
      <w:r>
        <w:rPr>
          <w:rFonts w:ascii="Times New Roman" w:hAnsi="Times New Roman" w:cs="Times New Roman"/>
          <w:color w:val="000000"/>
          <w:sz w:val="20"/>
          <w:szCs w:val="20"/>
        </w:rPr>
        <w:lastRenderedPageBreak/>
        <w:t>located in Public Law 280, community property states.</w:t>
      </w:r>
      <w:bookmarkStart w:id="122" w:name="co_footnoteReference_F72105705367_ID0EK4"/>
      <w:bookmarkEnd w:id="12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w:instrText>
      </w:r>
      <w:r>
        <w:rPr>
          <w:rFonts w:ascii="Times New Roman" w:hAnsi="Times New Roman" w:cs="Times New Roman"/>
          <w:color w:val="000000"/>
          <w:sz w:val="16"/>
          <w:szCs w:val="16"/>
        </w:rPr>
        <w:instrText xml:space="preserve">ootnote_F72105705367_1"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Indian tribes of Washington, a community property state, varied from dealing with the property between a married couple as community property,</w:t>
      </w:r>
      <w:bookmarkStart w:id="123" w:name="co_footnoteReference_F73105705367_ID0EN4"/>
      <w:bookmarkEnd w:id="12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the tribe and the state having concurrent jurisdiction and applying Washington State community property laws,</w:t>
      </w:r>
      <w:bookmarkStart w:id="124" w:name="co_footnoteReference_F74105705367_ID0EQ4"/>
      <w:bookmarkEnd w:id="1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w:instrText>
      </w:r>
      <w:r>
        <w:rPr>
          <w:rFonts w:ascii="Times New Roman" w:hAnsi="Times New Roman" w:cs="Times New Roman"/>
          <w:color w:val="000000"/>
          <w:sz w:val="16"/>
          <w:szCs w:val="16"/>
        </w:rPr>
        <w:instrText xml:space="preserve">tnote_F74105705367_1"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to neither following Washington State’s community property laws or having their own community property laws.</w:t>
      </w:r>
      <w:bookmarkStart w:id="125" w:name="co_footnoteReference_F75105705367_ID0EU4"/>
      <w:bookmarkEnd w:id="1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75</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6" w:name="co_g_ID0E24AE_1"/>
      <w:bookmarkEnd w:id="126"/>
      <w:r>
        <w:rPr>
          <w:rFonts w:ascii="Times New Roman" w:hAnsi="Times New Roman" w:cs="Times New Roman"/>
          <w:color w:val="000000"/>
          <w:sz w:val="20"/>
          <w:szCs w:val="20"/>
        </w:rPr>
        <w:t>The tribal differences could mean several things. It could mean some tribes do not believe Public Law 280 applies community property rules to Indians living in Indian country, or that those tribes think that the custom</w:t>
      </w:r>
      <w:r>
        <w:rPr>
          <w:rFonts w:ascii="Times New Roman" w:hAnsi="Times New Roman" w:cs="Times New Roman"/>
          <w:color w:val="000000"/>
          <w:sz w:val="20"/>
          <w:szCs w:val="20"/>
        </w:rPr>
        <w:t xml:space="preserve"> or ordinances of the tribe do not necessarily conflict with the state community property laws, or their own laws and customs are community property based.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7" w:name="co_g_ID0EK5AE_1"/>
      <w:bookmarkEnd w:id="127"/>
      <w:r>
        <w:rPr>
          <w:rFonts w:ascii="Times New Roman" w:hAnsi="Times New Roman" w:cs="Times New Roman"/>
          <w:color w:val="000000"/>
          <w:sz w:val="20"/>
          <w:szCs w:val="20"/>
        </w:rPr>
        <w:t>Tribal law is not always all that easy to discern:</w:t>
      </w:r>
    </w:p>
    <w:p w:rsidR="00000000" w:rsidRDefault="00A147FB">
      <w:pPr>
        <w:widowControl w:val="0"/>
        <w:autoSpaceDE w:val="0"/>
        <w:autoSpaceDN w:val="0"/>
        <w:adjustRightInd w:val="0"/>
        <w:spacing w:after="0" w:line="240" w:lineRule="auto"/>
        <w:ind w:left="700" w:right="400"/>
        <w:jc w:val="both"/>
        <w:rPr>
          <w:rFonts w:ascii="Times New Roman" w:hAnsi="Times New Roman" w:cs="Times New Roman"/>
          <w:color w:val="000000"/>
          <w:sz w:val="16"/>
          <w:szCs w:val="16"/>
        </w:rPr>
      </w:pPr>
      <w:r>
        <w:rPr>
          <w:rFonts w:ascii="Times New Roman" w:hAnsi="Times New Roman" w:cs="Times New Roman"/>
          <w:color w:val="000000"/>
          <w:sz w:val="20"/>
          <w:szCs w:val="20"/>
        </w:rPr>
        <w:t>A unique characte</w:t>
      </w:r>
      <w:r>
        <w:rPr>
          <w:rFonts w:ascii="Times New Roman" w:hAnsi="Times New Roman" w:cs="Times New Roman"/>
          <w:color w:val="000000"/>
          <w:sz w:val="20"/>
          <w:szCs w:val="20"/>
        </w:rPr>
        <w:t xml:space="preserve">ristic common to many tribal code sections . . . is a provision for the use of unwritten customs to </w:t>
      </w:r>
      <w:bookmarkStart w:id="128" w:name="co_pp_sp_1164_1083_1"/>
      <w:bookmarkEnd w:id="128"/>
      <w:r>
        <w:rPr>
          <w:rFonts w:ascii="Times New Roman" w:hAnsi="Times New Roman" w:cs="Times New Roman"/>
          <w:b/>
          <w:bCs/>
          <w:color w:val="000000"/>
          <w:sz w:val="20"/>
          <w:szCs w:val="20"/>
        </w:rPr>
        <w:t>*1083</w:t>
      </w:r>
      <w:r>
        <w:rPr>
          <w:rFonts w:ascii="Times New Roman" w:hAnsi="Times New Roman" w:cs="Times New Roman"/>
          <w:color w:val="000000"/>
          <w:sz w:val="20"/>
          <w:szCs w:val="20"/>
        </w:rPr>
        <w:t xml:space="preserve"> settle disputes. . . . For example the Law and Order Code of the Yerington Paiute Tribe states that: In matter</w:t>
      </w:r>
      <w:r>
        <w:rPr>
          <w:rFonts w:ascii="Times New Roman" w:hAnsi="Times New Roman" w:cs="Times New Roman"/>
          <w:color w:val="000000"/>
          <w:sz w:val="20"/>
          <w:szCs w:val="20"/>
        </w:rPr>
        <w:t>s not covered by this Code or any ordinance, the Tribal Court shall apply traditional customs of the Tribe where such customs have been recognized by resolution of the Tribal Council.</w:t>
      </w:r>
      <w:bookmarkStart w:id="129" w:name="co_footnoteReference_F76105705367_ID0ED6"/>
      <w:bookmarkEnd w:id="1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76</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30" w:name="co_g_ID0EN6AE_1"/>
      <w:bookmarkEnd w:id="130"/>
      <w:r>
        <w:rPr>
          <w:rFonts w:ascii="Times New Roman" w:hAnsi="Times New Roman" w:cs="Times New Roman"/>
          <w:color w:val="000000"/>
          <w:sz w:val="20"/>
          <w:szCs w:val="20"/>
        </w:rPr>
        <w:t xml:space="preserve">Other tribes use different methods to determine tribal law.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In the event of dispute or uncertainty regarding traditional Tribal customs, the court may utilize advisors </w:t>
      </w:r>
      <w:r>
        <w:rPr>
          <w:rFonts w:ascii="Times New Roman" w:hAnsi="Times New Roman" w:cs="Times New Roman"/>
          <w:color w:val="000000"/>
          <w:sz w:val="20"/>
          <w:szCs w:val="20"/>
        </w:rPr>
        <w:t>familiar with these customs.</w:t>
      </w:r>
      <w:r>
        <w:rPr>
          <w:rFonts w:ascii="Times New Roman" w:hAnsi="Times New Roman" w:cs="Times New Roman"/>
          <w:color w:val="000000"/>
          <w:sz w:val="20"/>
          <w:szCs w:val="20"/>
        </w:rPr>
        <w:t>”</w:t>
      </w:r>
      <w:bookmarkStart w:id="131" w:name="co_footnoteReference_F77105705367_ID0EAA"/>
      <w:bookmarkEnd w:id="1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77</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32" w:name="co_g_ID0EHAAG_1"/>
      <w:bookmarkEnd w:id="132"/>
      <w:r>
        <w:rPr>
          <w:rFonts w:ascii="Times New Roman" w:hAnsi="Times New Roman" w:cs="Times New Roman"/>
          <w:color w:val="000000"/>
          <w:sz w:val="20"/>
          <w:szCs w:val="20"/>
        </w:rPr>
        <w:t>Tribal law has formalized Domestic Relations more than other areas of</w:t>
      </w:r>
      <w:r>
        <w:rPr>
          <w:rFonts w:ascii="Times New Roman" w:hAnsi="Times New Roman" w:cs="Times New Roman"/>
          <w:color w:val="000000"/>
          <w:sz w:val="20"/>
          <w:szCs w:val="20"/>
        </w:rPr>
        <w:t xml:space="preserve"> law. In 1988, roughly three-fourths of tribal codes surveyed in one research project included a section dealing with that subject area.</w:t>
      </w:r>
      <w:bookmarkStart w:id="133" w:name="co_footnoteReference_F78105705367_ID0ESA"/>
      <w:bookmarkEnd w:id="1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Some of the tribal codes that provide for community property include the tribal codes of the Lummi Indian Nation,</w:t>
      </w:r>
      <w:bookmarkStart w:id="134" w:name="co_footnoteReference_F79105705367_ID0EVA"/>
      <w:bookmarkEnd w:id="1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"#co_footnote_F79105705367_1"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79</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Swinomi</w:t>
      </w:r>
      <w:r>
        <w:rPr>
          <w:rFonts w:ascii="Times New Roman" w:hAnsi="Times New Roman" w:cs="Times New Roman"/>
          <w:color w:val="000000"/>
          <w:sz w:val="20"/>
          <w:szCs w:val="20"/>
        </w:rPr>
        <w:t>sh Tribal Community,</w:t>
      </w:r>
      <w:bookmarkStart w:id="135" w:name="co_footnoteReference_F80105705367_ID0EYA"/>
      <w:bookmarkEnd w:id="1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Fort Belknap,</w:t>
      </w:r>
      <w:bookmarkStart w:id="136" w:name="co_footnoteReference_F81105705367_ID0E2A"/>
      <w:bookmarkEnd w:id="1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w:instrText>
      </w:r>
      <w:r>
        <w:rPr>
          <w:rFonts w:ascii="Times New Roman" w:hAnsi="Times New Roman" w:cs="Times New Roman"/>
          <w:color w:val="000000"/>
          <w:sz w:val="16"/>
          <w:szCs w:val="16"/>
        </w:rPr>
        <w:instrText xml:space="preserve">o_footnote_F81105705367_1"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Yavapai,</w:t>
      </w:r>
      <w:bookmarkStart w:id="137" w:name="co_footnoteReference_F82105705367_ID0E5A"/>
      <w:bookmarkEnd w:id="1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Yerington Paiute,</w:t>
      </w:r>
      <w:bookmarkStart w:id="138" w:name="co_footnoteReference_F83105705367_ID0EBB"/>
      <w:bookmarkEnd w:id="1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Colville Confederated Tribes,</w:t>
      </w:r>
      <w:bookmarkStart w:id="139" w:name="co_footnoteReference_F84105705367_ID0EEB"/>
      <w:bookmarkEnd w:id="1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Chehalis,</w:t>
      </w:r>
      <w:bookmarkStart w:id="140" w:name="co_footnoteReference_F85105705367_ID0EHB"/>
      <w:bookmarkEnd w:id="1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the Puyullap.</w:t>
      </w:r>
      <w:bookmarkStart w:id="141" w:name="co_footnoteReference_F86105705367_ID0ELB"/>
      <w:bookmarkEnd w:id="14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86</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142" w:name="co_g_ID0ESBAG_1"/>
      <w:bookmarkEnd w:id="142"/>
      <w:r>
        <w:rPr>
          <w:rFonts w:ascii="Times New Roman" w:hAnsi="Times New Roman" w:cs="Times New Roman"/>
          <w:b/>
          <w:bCs/>
          <w:color w:val="000000"/>
          <w:sz w:val="20"/>
          <w:szCs w:val="20"/>
        </w:rPr>
        <w:t>IV. WHO DECIDES IF PUBLIC LAW 280 APPLIES?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43" w:name="co_g_ID0E3BAG_1"/>
      <w:bookmarkEnd w:id="143"/>
      <w:r>
        <w:rPr>
          <w:rFonts w:ascii="Times New Roman" w:hAnsi="Times New Roman" w:cs="Times New Roman"/>
          <w:color w:val="000000"/>
          <w:sz w:val="20"/>
          <w:szCs w:val="20"/>
        </w:rPr>
        <w:t>C</w:t>
      </w:r>
      <w:r>
        <w:rPr>
          <w:rFonts w:ascii="Times New Roman" w:hAnsi="Times New Roman" w:cs="Times New Roman"/>
          <w:color w:val="000000"/>
          <w:sz w:val="20"/>
          <w:szCs w:val="20"/>
        </w:rPr>
        <w:t>ommissioner of Internal Revenue v. Estate of Bosch held that state trial court decisions in which the federal government was not a party are not binding on the government for federal tax purposes.</w:t>
      </w:r>
      <w:bookmarkStart w:id="144" w:name="co_footnoteReference_F87105705367_ID0EEC"/>
      <w:bookmarkEnd w:id="14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United States Supreme Court agreed state law decides state </w:t>
      </w:r>
      <w:bookmarkStart w:id="145" w:name="co_pp_sp_1164_1084_1"/>
      <w:bookmarkEnd w:id="145"/>
      <w:r>
        <w:rPr>
          <w:rFonts w:ascii="Times New Roman" w:hAnsi="Times New Roman" w:cs="Times New Roman"/>
          <w:b/>
          <w:bCs/>
          <w:color w:val="000000"/>
          <w:sz w:val="20"/>
          <w:szCs w:val="20"/>
        </w:rPr>
        <w:t>*1084</w:t>
      </w:r>
      <w:r>
        <w:rPr>
          <w:rFonts w:ascii="Times New Roman" w:hAnsi="Times New Roman" w:cs="Times New Roman"/>
          <w:color w:val="000000"/>
          <w:sz w:val="20"/>
          <w:szCs w:val="20"/>
        </w:rPr>
        <w:t xml:space="preserve"> property rights, but only a determination by the highest state court is binding f</w:t>
      </w:r>
      <w:r>
        <w:rPr>
          <w:rFonts w:ascii="Times New Roman" w:hAnsi="Times New Roman" w:cs="Times New Roman"/>
          <w:color w:val="000000"/>
          <w:sz w:val="20"/>
          <w:szCs w:val="20"/>
        </w:rPr>
        <w:t>or federal tax purposes.</w:t>
      </w:r>
      <w:bookmarkStart w:id="146" w:name="co_footnoteReference_F88105705367_ID0EOC"/>
      <w:bookmarkEnd w:id="1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decision does not discuss tribal court decisions; it dealt with state court decisions, but the result</w:t>
      </w:r>
      <w:r>
        <w:rPr>
          <w:rFonts w:ascii="Times New Roman" w:hAnsi="Times New Roman" w:cs="Times New Roman"/>
          <w:color w:val="000000"/>
          <w:sz w:val="20"/>
          <w:szCs w:val="20"/>
        </w:rPr>
        <w:t xml:space="preserve"> should be the same if a tribal court decision is involved.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47" w:name="co_g_ID0EXCAG_1"/>
      <w:bookmarkEnd w:id="147"/>
      <w:r>
        <w:rPr>
          <w:rFonts w:ascii="Times New Roman" w:hAnsi="Times New Roman" w:cs="Times New Roman"/>
          <w:color w:val="000000"/>
          <w:sz w:val="20"/>
          <w:szCs w:val="20"/>
        </w:rPr>
        <w:t xml:space="preserve">If the Bosch rationale applies to tribal decisions, a lower level tribal court determination should receive </w:t>
      </w:r>
      <w:r>
        <w:rPr>
          <w:rFonts w:ascii="Times New Roman" w:hAnsi="Times New Roman" w:cs="Times New Roman"/>
          <w:color w:val="000000"/>
          <w:sz w:val="20"/>
          <w:szCs w:val="20"/>
        </w:rPr>
        <w:t>“</w:t>
      </w:r>
      <w:r>
        <w:rPr>
          <w:rFonts w:ascii="Times New Roman" w:hAnsi="Times New Roman" w:cs="Times New Roman"/>
          <w:color w:val="000000"/>
          <w:sz w:val="20"/>
          <w:szCs w:val="20"/>
        </w:rPr>
        <w:t>due consideration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should not bind the federal cour</w:t>
      </w:r>
      <w:r>
        <w:rPr>
          <w:rFonts w:ascii="Times New Roman" w:hAnsi="Times New Roman" w:cs="Times New Roman"/>
          <w:color w:val="000000"/>
          <w:sz w:val="20"/>
          <w:szCs w:val="20"/>
        </w:rPr>
        <w:t>ts, including the United States Tax Court. However, the highest tribal courts’ determinations should bind the United States Tax court, which is, as of the date this article is written, considering the issue of whether certain property owned by a deceased c</w:t>
      </w:r>
      <w:r>
        <w:rPr>
          <w:rFonts w:ascii="Times New Roman" w:hAnsi="Times New Roman" w:cs="Times New Roman"/>
          <w:color w:val="000000"/>
          <w:sz w:val="20"/>
          <w:szCs w:val="20"/>
        </w:rPr>
        <w:t>ouple living on the reservation was indeed community property.</w:t>
      </w:r>
      <w:bookmarkStart w:id="148" w:name="co_footnoteReference_F89105705367_ID0EBD"/>
      <w:bookmarkEnd w:id="14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"#co_footnote_F89105705367_1"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89</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49" w:name="co_g_ID0EIDAG_1"/>
      <w:bookmarkEnd w:id="149"/>
      <w:r>
        <w:rPr>
          <w:rFonts w:ascii="Times New Roman" w:hAnsi="Times New Roman" w:cs="Times New Roman"/>
          <w:color w:val="000000"/>
          <w:sz w:val="20"/>
          <w:szCs w:val="20"/>
        </w:rPr>
        <w:t xml:space="preserve">One of the problems of applying the </w:t>
      </w:r>
      <w:r>
        <w:rPr>
          <w:rFonts w:ascii="Times New Roman" w:hAnsi="Times New Roman" w:cs="Times New Roman"/>
          <w:color w:val="000000"/>
          <w:sz w:val="20"/>
          <w:szCs w:val="20"/>
        </w:rPr>
        <w:t>Bosch principle too rigidly in determining the application of Public Law 280 is that the tribal court likely is in the best position to determine tribal law and customs.</w:t>
      </w:r>
      <w:bookmarkStart w:id="150" w:name="co_footnoteReference_F90105705367_ID0EPD"/>
      <w:bookmarkEnd w:id="15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w:instrText>
      </w:r>
      <w:r>
        <w:rPr>
          <w:rFonts w:ascii="Times New Roman" w:hAnsi="Times New Roman" w:cs="Times New Roman"/>
          <w:color w:val="000000"/>
          <w:sz w:val="16"/>
          <w:szCs w:val="16"/>
        </w:rPr>
        <w:instrText xml:space="preserve">NK "#co_footnote_F90105705367_1"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90</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151" w:name="co_g_ID0EWDAG_1"/>
      <w:bookmarkEnd w:id="151"/>
      <w:r>
        <w:rPr>
          <w:rFonts w:ascii="Times New Roman" w:hAnsi="Times New Roman" w:cs="Times New Roman"/>
          <w:b/>
          <w:bCs/>
          <w:color w:val="000000"/>
          <w:sz w:val="20"/>
          <w:szCs w:val="20"/>
        </w:rPr>
        <w:t>V. COMMUNITY PROPERTY PRINCIPLES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52" w:name="co_g_ID0EAEAG_1"/>
      <w:bookmarkEnd w:id="152"/>
      <w:r>
        <w:rPr>
          <w:rFonts w:ascii="Times New Roman" w:hAnsi="Times New Roman" w:cs="Times New Roman"/>
          <w:color w:val="000000"/>
          <w:sz w:val="20"/>
          <w:szCs w:val="20"/>
        </w:rPr>
        <w:t>Even if Public Law 280 states incorporate community property rules into their state law, tribal custom may prevent their a</w:t>
      </w:r>
      <w:r>
        <w:rPr>
          <w:rFonts w:ascii="Times New Roman" w:hAnsi="Times New Roman" w:cs="Times New Roman"/>
          <w:color w:val="000000"/>
          <w:sz w:val="20"/>
          <w:szCs w:val="20"/>
        </w:rPr>
        <w:t>pplication if the parties involved understand and accept tribal custom. In all community property jurisdictions a married couple can opt out of the community property system.</w:t>
      </w:r>
      <w:bookmarkStart w:id="153" w:name="co_footnoteReference_F91105705367_ID0ELE"/>
      <w:bookmarkEnd w:id="1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w:instrText>
      </w:r>
      <w:r>
        <w:rPr>
          <w:rFonts w:ascii="Times New Roman" w:hAnsi="Times New Roman" w:cs="Times New Roman"/>
          <w:color w:val="000000"/>
          <w:sz w:val="16"/>
          <w:szCs w:val="16"/>
        </w:rPr>
        <w:instrText xml:space="preserve">PERLINK "#co_footnote_F91105705367_1"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some jurisdictions this can only be done in writing, in others an oral agreement can make the character of (at least) future acquisitions, non-community in nature.</w:t>
      </w:r>
      <w:bookmarkStart w:id="154" w:name="co_footnoteReference_F92105705367_ID0EPE"/>
      <w:bookmarkEnd w:id="15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"#co_footnote_F92105705367_1"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92</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55" w:name="co_g_ID0EWEAG_1"/>
      <w:bookmarkEnd w:id="155"/>
      <w:r>
        <w:rPr>
          <w:rFonts w:ascii="Times New Roman" w:hAnsi="Times New Roman" w:cs="Times New Roman"/>
          <w:color w:val="000000"/>
          <w:sz w:val="20"/>
          <w:szCs w:val="20"/>
        </w:rPr>
        <w:t xml:space="preserve">A couple living in Indian country can agree that their income is </w:t>
      </w:r>
      <w:bookmarkStart w:id="156" w:name="co_pp_sp_1164_1085_1"/>
      <w:bookmarkEnd w:id="156"/>
      <w:r>
        <w:rPr>
          <w:rFonts w:ascii="Times New Roman" w:hAnsi="Times New Roman" w:cs="Times New Roman"/>
          <w:b/>
          <w:bCs/>
          <w:color w:val="000000"/>
          <w:sz w:val="20"/>
          <w:szCs w:val="20"/>
        </w:rPr>
        <w:t>*1085</w:t>
      </w:r>
      <w:r>
        <w:rPr>
          <w:rFonts w:ascii="Times New Roman" w:hAnsi="Times New Roman" w:cs="Times New Roman"/>
          <w:color w:val="000000"/>
          <w:sz w:val="20"/>
          <w:szCs w:val="20"/>
        </w:rPr>
        <w:t xml:space="preserve"> not community income just like individuals living in community property states. Although, there are no cases on point; it seems reasonable that if couples follow a tribal </w:t>
      </w:r>
      <w:r>
        <w:rPr>
          <w:rFonts w:ascii="Times New Roman" w:hAnsi="Times New Roman" w:cs="Times New Roman"/>
          <w:color w:val="000000"/>
          <w:sz w:val="20"/>
          <w:szCs w:val="20"/>
        </w:rPr>
        <w:t>“</w:t>
      </w:r>
      <w:r>
        <w:rPr>
          <w:rFonts w:ascii="Times New Roman" w:hAnsi="Times New Roman" w:cs="Times New Roman"/>
          <w:color w:val="000000"/>
          <w:sz w:val="20"/>
          <w:szCs w:val="20"/>
        </w:rPr>
        <w:t>custom and practice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different from the community property system, then community p</w:t>
      </w:r>
      <w:r>
        <w:rPr>
          <w:rFonts w:ascii="Times New Roman" w:hAnsi="Times New Roman" w:cs="Times New Roman"/>
          <w:color w:val="000000"/>
          <w:sz w:val="20"/>
          <w:szCs w:val="20"/>
        </w:rPr>
        <w:t>roperty rules would not apply to individuals living on the reservation.</w:t>
      </w:r>
      <w:bookmarkStart w:id="157" w:name="co_footnoteReference_F93105705367_ID0EFF"/>
      <w:bookmarkEnd w:id="15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"#co_footnote_F93105705367_1"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93</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158" w:name="co_g_ID0EMFAG_1"/>
      <w:bookmarkEnd w:id="158"/>
      <w:r>
        <w:rPr>
          <w:rFonts w:ascii="Times New Roman" w:hAnsi="Times New Roman" w:cs="Times New Roman"/>
          <w:b/>
          <w:bCs/>
          <w:color w:val="000000"/>
          <w:sz w:val="20"/>
          <w:szCs w:val="20"/>
        </w:rPr>
        <w:lastRenderedPageBreak/>
        <w:t>VI. NON-PUBLIC LAW 280 STAT</w:t>
      </w:r>
      <w:r>
        <w:rPr>
          <w:rFonts w:ascii="Times New Roman" w:hAnsi="Times New Roman" w:cs="Times New Roman"/>
          <w:b/>
          <w:bCs/>
          <w:color w:val="000000"/>
          <w:sz w:val="20"/>
          <w:szCs w:val="20"/>
        </w:rPr>
        <w:t>ES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59" w:name="co_g_ID0EWFAG_1"/>
      <w:bookmarkEnd w:id="159"/>
      <w:r>
        <w:rPr>
          <w:rFonts w:ascii="Times New Roman" w:hAnsi="Times New Roman" w:cs="Times New Roman"/>
          <w:color w:val="000000"/>
          <w:sz w:val="20"/>
          <w:szCs w:val="20"/>
        </w:rPr>
        <w:t>Absent some Congressional act giving a state civil jurisdiction over domestic relations,</w:t>
      </w:r>
      <w:bookmarkStart w:id="160" w:name="co_footnoteReference_F94105705367_ID0E3F"/>
      <w:bookmarkEnd w:id="16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"#co_footnote_F94105705367_1"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non-Publi</w:t>
      </w:r>
      <w:r>
        <w:rPr>
          <w:rFonts w:ascii="Times New Roman" w:hAnsi="Times New Roman" w:cs="Times New Roman"/>
          <w:color w:val="000000"/>
          <w:sz w:val="20"/>
          <w:szCs w:val="20"/>
        </w:rPr>
        <w:t>c law 280 states cannot apply their substantive property rules to Indians living in Indian country,</w:t>
      </w:r>
      <w:bookmarkStart w:id="161" w:name="co_footnoteReference_F95105705367_ID0E6F"/>
      <w:bookmarkEnd w:id="1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"#co_footnote_F95105705367_1"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or to an Indian and non-Indian </w:t>
      </w:r>
      <w:r>
        <w:rPr>
          <w:rFonts w:ascii="Times New Roman" w:hAnsi="Times New Roman" w:cs="Times New Roman"/>
          <w:color w:val="000000"/>
          <w:sz w:val="20"/>
          <w:szCs w:val="20"/>
        </w:rPr>
        <w:t>couple residing in such a locale.</w:t>
      </w:r>
      <w:bookmarkStart w:id="162" w:name="co_footnoteReference_F96105705367_ID0EEG"/>
      <w:bookmarkEnd w:id="1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"#co_footnote_F96105705367_1"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situations where a tribal member moves off the reservation and becomes domiciled in the non-Pu</w:t>
      </w:r>
      <w:r>
        <w:rPr>
          <w:rFonts w:ascii="Times New Roman" w:hAnsi="Times New Roman" w:cs="Times New Roman"/>
          <w:color w:val="000000"/>
          <w:sz w:val="20"/>
          <w:szCs w:val="20"/>
        </w:rPr>
        <w:t>blic Law 280 state, the state in which he or she resides will have jurisdiction to dissolve the marriage, but not necessarily to decide the property rights of the parties.</w:t>
      </w:r>
      <w:bookmarkStart w:id="163" w:name="co_footnoteReference_F97105705367_ID0EIG"/>
      <w:bookmarkEnd w:id="16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w:instrText>
      </w:r>
      <w:r>
        <w:rPr>
          <w:rFonts w:ascii="Times New Roman" w:hAnsi="Times New Roman" w:cs="Times New Roman"/>
          <w:color w:val="000000"/>
          <w:sz w:val="16"/>
          <w:szCs w:val="16"/>
        </w:rPr>
        <w:instrText xml:space="preserve">LINK "#co_footnote_F97105705367_1"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97</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64" w:name="co_g_ID0EPGAG_1"/>
      <w:bookmarkEnd w:id="164"/>
      <w:r>
        <w:rPr>
          <w:rFonts w:ascii="Times New Roman" w:hAnsi="Times New Roman" w:cs="Times New Roman"/>
          <w:color w:val="000000"/>
          <w:sz w:val="20"/>
          <w:szCs w:val="20"/>
        </w:rPr>
        <w:t>Once either party invokes jurisdiction, the trial court will likely determine not only who gets what property, but whether their property is community or separate property.</w:t>
      </w:r>
      <w:bookmarkStart w:id="165" w:name="co_footnoteReference_F98105705367_ID0EWG"/>
      <w:bookmarkEnd w:id="16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"#co_footnote_F98105705367_1"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98</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before="200" w:after="200" w:line="240" w:lineRule="auto"/>
        <w:rPr>
          <w:rFonts w:ascii="Times New Roman" w:hAnsi="Times New Roman" w:cs="Times New Roman"/>
          <w:b/>
          <w:bCs/>
          <w:color w:val="000000"/>
          <w:sz w:val="20"/>
          <w:szCs w:val="20"/>
        </w:rPr>
      </w:pPr>
      <w:bookmarkStart w:id="166" w:name="co_g_ID0E4GAG_1"/>
      <w:bookmarkEnd w:id="166"/>
      <w:r>
        <w:rPr>
          <w:rFonts w:ascii="Times New Roman" w:hAnsi="Times New Roman" w:cs="Times New Roman"/>
          <w:b/>
          <w:bCs/>
          <w:color w:val="000000"/>
          <w:sz w:val="20"/>
          <w:szCs w:val="20"/>
        </w:rPr>
        <w:t>VII. CONCLUSION</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67" w:name="co_g_ID0EHHAG_1"/>
      <w:bookmarkEnd w:id="167"/>
      <w:r>
        <w:rPr>
          <w:rFonts w:ascii="Times New Roman" w:hAnsi="Times New Roman" w:cs="Times New Roman"/>
          <w:color w:val="000000"/>
          <w:sz w:val="20"/>
          <w:szCs w:val="20"/>
        </w:rPr>
        <w:t>Community property rules form a logical application of ownershi</w:t>
      </w:r>
      <w:r>
        <w:rPr>
          <w:rFonts w:ascii="Times New Roman" w:hAnsi="Times New Roman" w:cs="Times New Roman"/>
          <w:color w:val="000000"/>
          <w:sz w:val="20"/>
          <w:szCs w:val="20"/>
        </w:rPr>
        <w:t>p principles in a marriage. The Spanish system, the basis of most American community property jurisdictions, recognizes both parties contributions to a marriage. The parties joint efforts to acquire the community property result in co-ownership of that pro</w:t>
      </w:r>
      <w:r>
        <w:rPr>
          <w:rFonts w:ascii="Times New Roman" w:hAnsi="Times New Roman" w:cs="Times New Roman"/>
          <w:color w:val="000000"/>
          <w:sz w:val="20"/>
          <w:szCs w:val="20"/>
        </w:rPr>
        <w:t>perty.</w:t>
      </w:r>
      <w:bookmarkStart w:id="168" w:name="co_footnoteReference_F99105705367_ID0EUH"/>
      <w:bookmarkEnd w:id="16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"#co_footnote_F99105705367_1" </w:instrText>
      </w:r>
      <w:r w:rsidR="00A82B32">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99</w:t>
      </w:r>
      <w:r>
        <w:rPr>
          <w:rFonts w:ascii="Times New Roman" w:hAnsi="Times New Roman" w:cs="Times New Roman"/>
          <w:color w:val="000000"/>
          <w:sz w:val="16"/>
          <w:szCs w:val="16"/>
        </w:rPr>
        <w:fldChar w:fldCharType="end"/>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9" w:name="co_g_ID0E2HAG_1"/>
      <w:bookmarkEnd w:id="169"/>
      <w:r>
        <w:rPr>
          <w:rFonts w:ascii="Times New Roman" w:hAnsi="Times New Roman" w:cs="Times New Roman"/>
          <w:color w:val="000000"/>
          <w:sz w:val="20"/>
          <w:szCs w:val="20"/>
        </w:rPr>
        <w:t>While this approach may be logical, it is not the only approach. It is likely that many Indi</w:t>
      </w:r>
      <w:r>
        <w:rPr>
          <w:rFonts w:ascii="Times New Roman" w:hAnsi="Times New Roman" w:cs="Times New Roman"/>
          <w:color w:val="000000"/>
          <w:sz w:val="20"/>
          <w:szCs w:val="20"/>
        </w:rPr>
        <w:t xml:space="preserve">ans gave little thought to which of the state law systems they preferred, civil (community property) or common law. If asked, many Indians likely would prefer neither. In the </w:t>
      </w:r>
      <w:bookmarkStart w:id="170" w:name="co_pp_sp_1164_1086_1"/>
      <w:bookmarkEnd w:id="170"/>
      <w:r>
        <w:rPr>
          <w:rFonts w:ascii="Times New Roman" w:hAnsi="Times New Roman" w:cs="Times New Roman"/>
          <w:b/>
          <w:bCs/>
          <w:color w:val="000000"/>
          <w:sz w:val="20"/>
          <w:szCs w:val="20"/>
        </w:rPr>
        <w:t>*1086</w:t>
      </w:r>
      <w:r>
        <w:rPr>
          <w:rFonts w:ascii="Times New Roman" w:hAnsi="Times New Roman" w:cs="Times New Roman"/>
          <w:color w:val="000000"/>
          <w:sz w:val="20"/>
          <w:szCs w:val="20"/>
        </w:rPr>
        <w:t xml:space="preserve"> absence of a federal statute imposi</w:t>
      </w:r>
      <w:r>
        <w:rPr>
          <w:rFonts w:ascii="Times New Roman" w:hAnsi="Times New Roman" w:cs="Times New Roman"/>
          <w:color w:val="000000"/>
          <w:sz w:val="20"/>
          <w:szCs w:val="20"/>
        </w:rPr>
        <w:t>ng some form of state substantive law in Indian country, tribes clearly should decide which property ownership system they prefer.</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1" w:name="co_g_ID0EVIAG_1"/>
      <w:bookmarkEnd w:id="171"/>
      <w:r>
        <w:rPr>
          <w:rFonts w:ascii="Times New Roman" w:hAnsi="Times New Roman" w:cs="Times New Roman"/>
          <w:color w:val="000000"/>
          <w:sz w:val="20"/>
          <w:szCs w:val="20"/>
        </w:rPr>
        <w:t>The problem is Public Law 280. Literally, Public Law 280 imposes state civil law in Indian co</w:t>
      </w:r>
      <w:r>
        <w:rPr>
          <w:rFonts w:ascii="Times New Roman" w:hAnsi="Times New Roman" w:cs="Times New Roman"/>
          <w:color w:val="000000"/>
          <w:sz w:val="20"/>
          <w:szCs w:val="20"/>
        </w:rPr>
        <w:t>untry for no good reason. Granting states jurisdictional rights over civil matters may be (or have been) necessary to provide some forum for the adjudication of civil disputes. However, it makes no sense at all to give states the authority to determine the</w:t>
      </w:r>
      <w:r>
        <w:rPr>
          <w:rFonts w:ascii="Times New Roman" w:hAnsi="Times New Roman" w:cs="Times New Roman"/>
          <w:color w:val="000000"/>
          <w:sz w:val="20"/>
          <w:szCs w:val="20"/>
        </w:rPr>
        <w:t xml:space="preserve"> respective property ownership interests of tribal members living in Indian country. Congress in enacting Public Law 280 did not intend for states to determine tribal member property rights in Indian country.</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2" w:name="co_g_ID0ENJAG_1"/>
      <w:bookmarkEnd w:id="172"/>
      <w:r>
        <w:rPr>
          <w:rFonts w:ascii="Times New Roman" w:hAnsi="Times New Roman" w:cs="Times New Roman"/>
          <w:color w:val="000000"/>
          <w:sz w:val="20"/>
          <w:szCs w:val="20"/>
        </w:rPr>
        <w:t xml:space="preserve">Public Law 280 </w:t>
      </w:r>
      <w:r>
        <w:rPr>
          <w:rFonts w:ascii="Times New Roman" w:hAnsi="Times New Roman" w:cs="Times New Roman"/>
          <w:color w:val="000000"/>
          <w:sz w:val="20"/>
          <w:szCs w:val="20"/>
        </w:rPr>
        <w:t xml:space="preserve">should be strictly jurisdictional. </w:t>
      </w:r>
      <w:r>
        <w:rPr>
          <w:rFonts w:ascii="Times New Roman" w:hAnsi="Times New Roman" w:cs="Times New Roman"/>
          <w:color w:val="000000"/>
          <w:sz w:val="20"/>
          <w:szCs w:val="20"/>
        </w:rPr>
        <w:t>“</w:t>
      </w:r>
      <w:r>
        <w:rPr>
          <w:rFonts w:ascii="Times New Roman" w:hAnsi="Times New Roman" w:cs="Times New Roman"/>
          <w:color w:val="000000"/>
          <w:sz w:val="20"/>
          <w:szCs w:val="20"/>
        </w:rPr>
        <w:t>Law and order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may have been less than satisfactory on some reservations. However, individuals most affected by property laws should determine their own property ownership rights in Indian country since Public Law 280 ca</w:t>
      </w:r>
      <w:r>
        <w:rPr>
          <w:rFonts w:ascii="Times New Roman" w:hAnsi="Times New Roman" w:cs="Times New Roman"/>
          <w:color w:val="000000"/>
          <w:sz w:val="20"/>
          <w:szCs w:val="20"/>
        </w:rPr>
        <w:t>n reasonably be interpreted as merely jurisdictional.</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Footnotes</w:t>
            </w:r>
          </w:p>
          <w:p w:rsidR="00000000" w:rsidRDefault="00A147FB">
            <w:pPr>
              <w:widowControl w:val="0"/>
              <w:autoSpaceDE w:val="0"/>
              <w:autoSpaceDN w:val="0"/>
              <w:adjustRightInd w:val="0"/>
              <w:spacing w:after="0" w:line="240" w:lineRule="auto"/>
              <w:rPr>
                <w:rFonts w:ascii="Times New Roman" w:hAnsi="Times New Roman" w:cs="Times New Roman"/>
                <w:color w:val="000000"/>
                <w:sz w:val="20"/>
                <w:szCs w:val="20"/>
              </w:rPr>
            </w:pPr>
          </w:p>
        </w:tc>
      </w:tr>
      <w:bookmarkStart w:id="173" w:name="co_footnote_Fa105705367_1"/>
      <w:bookmarkEnd w:id="1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"#co_footnoteReference_Fa105705367_ID0EKKA"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a</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Gary C. Randall, Professor of Law Gonzaga University College of Law.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4" w:name="co_footnote_Faa105705367_1"/>
      <w:bookmarkEnd w:id="17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"#co_footnoteReference_Faa105705367_ID0E3K"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aa</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Katti Telstad, 1995 graduate, Gonzaga University College of Law.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5" w:name="co_footnote_F1105705367_1"/>
      <w:bookmarkEnd w:id="17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"#co_footnoteReference_F1105705367_ID0EWMA"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With apologies to Arlo Guthrie and </w:t>
            </w:r>
            <w:r>
              <w:rPr>
                <w:rFonts w:ascii="Times New Roman" w:hAnsi="Times New Roman" w:cs="Times New Roman"/>
                <w:color w:val="000000"/>
                <w:sz w:val="18"/>
                <w:szCs w:val="18"/>
              </w:rPr>
              <w:t>“</w:t>
            </w:r>
            <w:r>
              <w:rPr>
                <w:rFonts w:ascii="Times New Roman" w:hAnsi="Times New Roman" w:cs="Times New Roman"/>
                <w:color w:val="000000"/>
                <w:sz w:val="18"/>
                <w:szCs w:val="18"/>
              </w:rPr>
              <w:t>This Land Is Your Land.</w:t>
            </w:r>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6" w:name="co_footnote_F2105705367_1"/>
      <w:bookmarkEnd w:id="17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"#co_footnoteReference_F2105705367_ID0EYCA"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32" w:history="1">
              <w:r>
                <w:rPr>
                  <w:rFonts w:ascii="Times New Roman" w:hAnsi="Times New Roman" w:cs="Times New Roman"/>
                  <w:color w:val="0000FF"/>
                  <w:sz w:val="18"/>
                  <w:szCs w:val="18"/>
                </w:rPr>
                <w:t>25 U.S.C. SS 461</w:t>
              </w:r>
            </w:hyperlink>
            <w:r>
              <w:rPr>
                <w:rFonts w:ascii="Times New Roman" w:hAnsi="Times New Roman" w:cs="Times New Roman"/>
                <w:color w:val="000000"/>
                <w:sz w:val="18"/>
                <w:szCs w:val="18"/>
              </w:rPr>
              <w:t xml:space="preserve">, </w:t>
            </w:r>
            <w:hyperlink r:id="rId33" w:history="1">
              <w:r>
                <w:rPr>
                  <w:rFonts w:ascii="Times New Roman" w:hAnsi="Times New Roman" w:cs="Times New Roman"/>
                  <w:color w:val="0000FF"/>
                  <w:sz w:val="18"/>
                  <w:szCs w:val="18"/>
                </w:rPr>
                <w:t>462 (1988)</w:t>
              </w:r>
            </w:hyperlink>
            <w:r>
              <w:rPr>
                <w:rFonts w:ascii="Times New Roman" w:hAnsi="Times New Roman" w:cs="Times New Roman"/>
                <w:color w:val="000000"/>
                <w:sz w:val="18"/>
                <w:szCs w:val="18"/>
              </w:rPr>
              <w:t xml:space="preserve">; American Indian Law Deskbook 99 (Conference of Western Attorneys General, 1993) (hereinafter Deskbook); Joseph W. Singer, </w:t>
            </w:r>
            <w:hyperlink r:id="rId34" w:history="1">
              <w:r>
                <w:rPr>
                  <w:rFonts w:ascii="Times New Roman" w:hAnsi="Times New Roman" w:cs="Times New Roman"/>
                  <w:color w:val="0000FF"/>
                  <w:sz w:val="18"/>
                  <w:szCs w:val="18"/>
                </w:rPr>
                <w:t>Sovereignty and Property, 86 N.W.U.L. Rev. 1 (1991)</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7" w:name="co_footnote_F3105705367_1"/>
      <w:bookmarkEnd w:id="17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"#co_footnoteReference_F3105705367_ID0EADA"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Carole E. Goldberg, Public Law 280: The Limits of State Jurisdiction Over Reservation Indians, 22 UCLA L. Rev. 535 (1975).</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8" w:name="co_footnote_F4105705367_1"/>
      <w:bookmarkEnd w:id="17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w:instrText>
            </w:r>
            <w:r>
              <w:rPr>
                <w:rFonts w:ascii="Times New Roman" w:hAnsi="Times New Roman" w:cs="Times New Roman"/>
                <w:color w:val="000000"/>
                <w:sz w:val="18"/>
                <w:szCs w:val="18"/>
              </w:rPr>
              <w:instrText xml:space="preserve">INK "#co_footnoteReference_F4105705367_ID0EFDA"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community property states are: Washington, Idaho, California, Arizona, New Mexico, Nevada, Texas, Louisiana and Wisconsin. W.S. McClanahan, Community Property in the United States S1.1, at 2 (1982).</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Note that since preparation of this Article the Washington Supreme Court has determined, in response to a certification from the United States Tax Court, that Washington community property law does extend to the Indian Reservations and Indian Country loca</w:t>
            </w:r>
            <w:r>
              <w:rPr>
                <w:rFonts w:ascii="Times New Roman" w:hAnsi="Times New Roman" w:cs="Times New Roman"/>
                <w:color w:val="000000"/>
                <w:sz w:val="18"/>
                <w:szCs w:val="18"/>
              </w:rPr>
              <w:t xml:space="preserve">ted within the State of Washington. Estate of Millie </w:t>
            </w:r>
            <w:hyperlink r:id="rId35" w:history="1">
              <w:r>
                <w:rPr>
                  <w:rFonts w:ascii="Times New Roman" w:hAnsi="Times New Roman" w:cs="Times New Roman"/>
                  <w:color w:val="0000FF"/>
                  <w:sz w:val="18"/>
                  <w:szCs w:val="18"/>
                </w:rPr>
                <w:t xml:space="preserve">Cross v. Commissioner of Internal Revenue, 126 Wash.2d 43, 891 P.2d 26 </w:t>
              </w:r>
              <w:r>
                <w:rPr>
                  <w:rFonts w:ascii="Times New Roman" w:hAnsi="Times New Roman" w:cs="Times New Roman"/>
                  <w:color w:val="0000FF"/>
                  <w:sz w:val="18"/>
                  <w:szCs w:val="18"/>
                </w:rPr>
                <w:lastRenderedPageBreak/>
                <w:t>(1995)</w:t>
              </w:r>
            </w:hyperlink>
            <w:r>
              <w:rPr>
                <w:rFonts w:ascii="Times New Roman" w:hAnsi="Times New Roman" w:cs="Times New Roman"/>
                <w:color w:val="000000"/>
                <w:sz w:val="18"/>
                <w:szCs w:val="18"/>
              </w:rPr>
              <w:t>; see infra notes 22, 70 &amp; 71. The authors believe that the determination is incorrect.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79" w:name="co_footnote_F5105705367_1"/>
      <w:bookmarkEnd w:id="17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 xml:space="preserve">HYPERLINK "#co_footnoteReference_F5105705367_ID0ENDA"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On the general subject of federal preemption, see Harry M. Cross, The Community Property Law in Washington, 61 Wash. L. Rev. 14 (1986). Restrictions on dispositions of res</w:t>
            </w:r>
            <w:r>
              <w:rPr>
                <w:rFonts w:ascii="Times New Roman" w:hAnsi="Times New Roman" w:cs="Times New Roman"/>
                <w:color w:val="000000"/>
                <w:sz w:val="18"/>
                <w:szCs w:val="18"/>
              </w:rPr>
              <w:t>ervation allotments are further described in the Deskbook supra note 2, at 21-27.</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0" w:name="co_footnote_F6105705367_1"/>
      <w:bookmarkEnd w:id="18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"#co_footnoteReference_F6105705367_ID0ERDA"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Goldberg, supra note 3, at 581.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1" w:name="co_footnote_F7105705367_1"/>
      <w:bookmarkEnd w:id="18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"#co_footnoteReference_F7105705367_ID0EAEA"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36" w:history="1">
              <w:r>
                <w:rPr>
                  <w:rFonts w:ascii="Times New Roman" w:hAnsi="Times New Roman" w:cs="Times New Roman"/>
                  <w:color w:val="0000FF"/>
                  <w:sz w:val="18"/>
                  <w:szCs w:val="18"/>
                </w:rPr>
                <w:t>McClanahan v. Arizona State Tax Comm’n, 411 U.S. 164 (1973)</w:t>
              </w:r>
            </w:hyperlink>
            <w:r>
              <w:rPr>
                <w:rFonts w:ascii="Times New Roman" w:hAnsi="Times New Roman" w:cs="Times New Roman"/>
                <w:color w:val="000000"/>
                <w:sz w:val="18"/>
                <w:szCs w:val="18"/>
              </w:rPr>
              <w:t xml:space="preserve">. In particular the Supreme Court’s approval of a statement in a text by the U.S. Department of Interior: </w:t>
            </w:r>
            <w:r>
              <w:rPr>
                <w:rFonts w:ascii="Times New Roman" w:hAnsi="Times New Roman" w:cs="Times New Roman"/>
                <w:color w:val="000000"/>
                <w:sz w:val="18"/>
                <w:szCs w:val="18"/>
              </w:rPr>
              <w:t>“</w:t>
            </w:r>
            <w:r>
              <w:rPr>
                <w:rFonts w:ascii="Times New Roman" w:hAnsi="Times New Roman" w:cs="Times New Roman"/>
                <w:color w:val="000000"/>
                <w:sz w:val="18"/>
                <w:szCs w:val="18"/>
              </w:rPr>
              <w:t>State</w:t>
            </w:r>
            <w:r>
              <w:rPr>
                <w:rFonts w:ascii="Times New Roman" w:hAnsi="Times New Roman" w:cs="Times New Roman"/>
                <w:color w:val="000000"/>
                <w:sz w:val="18"/>
                <w:szCs w:val="18"/>
              </w:rPr>
              <w:t xml:space="preserve"> laws generally are not applicable to tribal Indians on an Indian reservation except where Congress has expressly provided that State laws shall apply.</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37" w:history="1">
              <w:r>
                <w:rPr>
                  <w:rFonts w:ascii="Times New Roman" w:hAnsi="Times New Roman" w:cs="Times New Roman"/>
                  <w:color w:val="0000FF"/>
                  <w:sz w:val="18"/>
                  <w:szCs w:val="18"/>
                </w:rPr>
                <w:t>Id. at 170-71</w:t>
              </w:r>
            </w:hyperlink>
            <w:r>
              <w:rPr>
                <w:rFonts w:ascii="Times New Roman" w:hAnsi="Times New Roman" w:cs="Times New Roman"/>
                <w:color w:val="000000"/>
                <w:sz w:val="18"/>
                <w:szCs w:val="18"/>
              </w:rPr>
              <w:t xml:space="preserve"> (quoting Federal Indian Law 845 (1958)).</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2" w:name="co_footnote_F8105705367_1"/>
      <w:bookmarkEnd w:id="18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w:instrText>
            </w:r>
            <w:r>
              <w:rPr>
                <w:rFonts w:ascii="Times New Roman" w:hAnsi="Times New Roman" w:cs="Times New Roman"/>
                <w:color w:val="000000"/>
                <w:sz w:val="18"/>
                <w:szCs w:val="18"/>
              </w:rPr>
              <w:instrText xml:space="preserve">RLINK "#co_footnoteReference_F8105705367_ID0E5EA"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William Q. DeFuniak &amp; Michael J. Vaughn, Principles of Community Property S 91, at 220-21 (2d ed. 1971); Norvie L. Lay, Community Property in Common Law States: A Comparative Analysis Of Its Treatment</w:t>
            </w:r>
            <w:r>
              <w:rPr>
                <w:rFonts w:ascii="Times New Roman" w:hAnsi="Times New Roman" w:cs="Times New Roman"/>
                <w:color w:val="000000"/>
                <w:sz w:val="18"/>
                <w:szCs w:val="18"/>
              </w:rPr>
              <w:t xml:space="preserve"> In Foreign Jurisdictions, 41 Temp. L.Q. 1 (1967).</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3" w:name="co_footnote_F9105705367_1"/>
      <w:bookmarkEnd w:id="18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"#co_footnoteReference_F9105705367_ID0ECFA"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38" w:history="1">
              <w:r>
                <w:rPr>
                  <w:rFonts w:ascii="Times New Roman" w:hAnsi="Times New Roman" w:cs="Times New Roman"/>
                  <w:color w:val="0000FF"/>
                  <w:sz w:val="18"/>
                  <w:szCs w:val="18"/>
                </w:rPr>
                <w:t>Keller v. Department of Revenue, 642 P.2d 284 (1982)</w:t>
              </w:r>
            </w:hyperlink>
            <w:r>
              <w:rPr>
                <w:rFonts w:ascii="Times New Roman" w:hAnsi="Times New Roman" w:cs="Times New Roman"/>
                <w:color w:val="000000"/>
                <w:sz w:val="18"/>
                <w:szCs w:val="18"/>
              </w:rPr>
              <w:t>. Wife domiciled in Oregon, Husband in Washington. Half of Husband’s income allocated to Wife for Oregon state income tax purposes under community property principles.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4" w:name="co_footnote_F10105705367_1"/>
      <w:bookmarkEnd w:id="18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"#co_footnoteReference_F10105705367_ID0E2F"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Lay, supra note 8.</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5" w:name="co_footnote_F11105705367_1"/>
      <w:bookmarkEnd w:id="18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"#co_footnoteReference_F11105705367_ID0EIG"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39" w:history="1">
              <w:r>
                <w:rPr>
                  <w:rFonts w:ascii="Times New Roman" w:hAnsi="Times New Roman" w:cs="Times New Roman"/>
                  <w:color w:val="0000FF"/>
                  <w:sz w:val="18"/>
                  <w:szCs w:val="18"/>
                </w:rPr>
                <w:t>Wor</w:t>
              </w:r>
              <w:r>
                <w:rPr>
                  <w:rFonts w:ascii="Times New Roman" w:hAnsi="Times New Roman" w:cs="Times New Roman"/>
                  <w:color w:val="0000FF"/>
                  <w:sz w:val="18"/>
                  <w:szCs w:val="18"/>
                </w:rPr>
                <w:t>cester v. Georgia, 31 U.S. 515, 557 (1832)</w:t>
              </w:r>
            </w:hyperlink>
            <w:r>
              <w:rPr>
                <w:rFonts w:ascii="Times New Roman" w:hAnsi="Times New Roman" w:cs="Times New Roman"/>
                <w:color w:val="000000"/>
                <w:sz w:val="18"/>
                <w:szCs w:val="18"/>
              </w:rPr>
              <w:t xml:space="preserve">; see also </w:t>
            </w:r>
            <w:hyperlink r:id="rId40" w:history="1">
              <w:r>
                <w:rPr>
                  <w:rFonts w:ascii="Times New Roman" w:hAnsi="Times New Roman" w:cs="Times New Roman"/>
                  <w:color w:val="0000FF"/>
                  <w:sz w:val="18"/>
                  <w:szCs w:val="18"/>
                </w:rPr>
                <w:t>McClanahan v. Arizona State Tax Comm’n, 411 U.S. 164, 168 (1973)</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6" w:name="co_footnote_F12105705367_1"/>
      <w:bookmarkEnd w:id="18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HYPERLINK "#co_footnoteReference_F121057</w:instrText>
            </w:r>
            <w:r>
              <w:rPr>
                <w:rFonts w:ascii="Times New Roman" w:hAnsi="Times New Roman" w:cs="Times New Roman"/>
                <w:color w:val="000000"/>
                <w:sz w:val="18"/>
                <w:szCs w:val="18"/>
              </w:rPr>
              <w:instrText xml:space="preserve">05367_ID0ELG"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1" w:history="1">
              <w:r>
                <w:rPr>
                  <w:rFonts w:ascii="Times New Roman" w:hAnsi="Times New Roman" w:cs="Times New Roman"/>
                  <w:color w:val="0000FF"/>
                  <w:sz w:val="18"/>
                  <w:szCs w:val="18"/>
                </w:rPr>
                <w:t>18 U.S.C. S 1151 (1988)</w:t>
              </w:r>
            </w:hyperlink>
            <w:r>
              <w:rPr>
                <w:rFonts w:ascii="Times New Roman" w:hAnsi="Times New Roman" w:cs="Times New Roman"/>
                <w:color w:val="000000"/>
                <w:sz w:val="18"/>
                <w:szCs w:val="18"/>
              </w:rPr>
              <w:t xml:space="preserve"> defines Indian country as: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Except as otherwise provided in sections 1154 and 1156 of this title, the term </w:t>
            </w:r>
            <w:r>
              <w:rPr>
                <w:rFonts w:ascii="Times New Roman" w:hAnsi="Times New Roman" w:cs="Times New Roman"/>
                <w:color w:val="000000"/>
                <w:sz w:val="18"/>
                <w:szCs w:val="18"/>
              </w:rPr>
              <w:t>“</w:t>
            </w:r>
            <w:r>
              <w:rPr>
                <w:rFonts w:ascii="Times New Roman" w:hAnsi="Times New Roman" w:cs="Times New Roman"/>
                <w:color w:val="000000"/>
                <w:sz w:val="18"/>
                <w:szCs w:val="18"/>
              </w:rPr>
              <w:t>Indian Country,</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as used in this chapter, means (a) all land within the limits of any Indian reservation under the jurisdiction of the United States Government, notwithstanding the issuance of any patent, and, including rights-of-way running through the reservation, (b) a</w:t>
            </w:r>
            <w:r>
              <w:rPr>
                <w:rFonts w:ascii="Times New Roman" w:hAnsi="Times New Roman" w:cs="Times New Roman"/>
                <w:color w:val="000000"/>
                <w:sz w:val="18"/>
                <w:szCs w:val="18"/>
              </w:rPr>
              <w:t>ll dependent Indian Communities within the borders of the United States whether within the original or subsequent acquired territory thereof, and whether within or without the limits of a state, and (c) all Indian allotments, the Indian titles to which hav</w:t>
            </w:r>
            <w:r>
              <w:rPr>
                <w:rFonts w:ascii="Times New Roman" w:hAnsi="Times New Roman" w:cs="Times New Roman"/>
                <w:color w:val="000000"/>
                <w:sz w:val="18"/>
                <w:szCs w:val="18"/>
              </w:rPr>
              <w:t>e not been extinguished, including rights-of-way running through the same.</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Even though this statute is found in the section dealing with Indian criminal law, the Supreme Court has found this statute also defines Indian country for civil law purposes as wel</w:t>
            </w:r>
            <w:r>
              <w:rPr>
                <w:rFonts w:ascii="Times New Roman" w:hAnsi="Times New Roman" w:cs="Times New Roman"/>
                <w:color w:val="000000"/>
                <w:sz w:val="18"/>
                <w:szCs w:val="18"/>
              </w:rPr>
              <w:t xml:space="preserve">l. </w:t>
            </w:r>
            <w:hyperlink r:id="rId42" w:history="1">
              <w:r>
                <w:rPr>
                  <w:rFonts w:ascii="Times New Roman" w:hAnsi="Times New Roman" w:cs="Times New Roman"/>
                  <w:color w:val="0000FF"/>
                  <w:sz w:val="18"/>
                  <w:szCs w:val="18"/>
                </w:rPr>
                <w:t>DeCoteau v. District County Court, 420 U.S. 425, 427 n.2 (1975)</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7" w:name="co_footnote_F13105705367_1"/>
      <w:bookmarkEnd w:id="18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"#co_footnoteReference_F13105705367_ID0EPG"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3" w:history="1">
              <w:r>
                <w:rPr>
                  <w:rFonts w:ascii="Times New Roman" w:hAnsi="Times New Roman" w:cs="Times New Roman"/>
                  <w:color w:val="0000FF"/>
                  <w:sz w:val="18"/>
                  <w:szCs w:val="18"/>
                </w:rPr>
                <w:t>California v. Cabazon Band of Mission Indians, 480 U.S. 202, 207 (1987)</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8" w:name="co_footnote_F14105705367_1"/>
      <w:bookmarkEnd w:id="18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"#co_footnoteReference_F14105705367_ID0EBH"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McClanahan, supra note 4, S 7:14, at 40</w:t>
            </w:r>
            <w:r>
              <w:rPr>
                <w:rFonts w:ascii="Times New Roman" w:hAnsi="Times New Roman" w:cs="Times New Roman"/>
                <w:color w:val="000000"/>
                <w:sz w:val="18"/>
                <w:szCs w:val="18"/>
              </w:rPr>
              <w:t>0.</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89" w:name="co_footnote_F15105705367_1"/>
      <w:bookmarkEnd w:id="18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"#co_footnoteReference_F15105705367_ID0EGH"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McClanahan, supra note 4, S 9:12, at 466.</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0" w:name="co_footnote_F16105705367_1"/>
      <w:bookmarkEnd w:id="19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"#co_footnoteReference_F16105705367_ID0ELH"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McClanahan, supra note 4, S 11:5, at 511.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1" w:name="co_footnote_F17105705367_1"/>
      <w:bookmarkEnd w:id="19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"#co_footnoteReference_F17105705367_ID0EQH"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4" w:history="1">
              <w:r>
                <w:rPr>
                  <w:rFonts w:ascii="Times New Roman" w:hAnsi="Times New Roman" w:cs="Times New Roman"/>
                  <w:color w:val="0000FF"/>
                  <w:sz w:val="18"/>
                  <w:szCs w:val="18"/>
                </w:rPr>
                <w:t>I.R.C. S 1014(b</w:t>
              </w:r>
              <w:r>
                <w:rPr>
                  <w:rFonts w:ascii="Times New Roman" w:hAnsi="Times New Roman" w:cs="Times New Roman"/>
                  <w:color w:val="0000FF"/>
                  <w:sz w:val="18"/>
                  <w:szCs w:val="18"/>
                </w:rPr>
                <w:t>)(6)</w:t>
              </w:r>
            </w:hyperlink>
            <w:r>
              <w:rPr>
                <w:rFonts w:ascii="Times New Roman" w:hAnsi="Times New Roman" w:cs="Times New Roman"/>
                <w:color w:val="000000"/>
                <w:sz w:val="18"/>
                <w:szCs w:val="18"/>
              </w:rPr>
              <w:t xml:space="preserve"> (1988).</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2" w:name="co_footnote_F18105705367_1"/>
      <w:bookmarkEnd w:id="19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"#co_footnoteReference_F18105705367_ID0EUH"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McClanahan, supra note 4, SS 10:1 to :12, at 478-501.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3" w:name="co_footnote_F19105705367_1"/>
      <w:bookmarkEnd w:id="19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HYPERLINK "#co_fo</w:instrText>
            </w:r>
            <w:r>
              <w:rPr>
                <w:rFonts w:ascii="Times New Roman" w:hAnsi="Times New Roman" w:cs="Times New Roman"/>
                <w:color w:val="000000"/>
                <w:sz w:val="18"/>
                <w:szCs w:val="18"/>
              </w:rPr>
              <w:instrText xml:space="preserve">otnoteReference_F19105705367_ID0EHI"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19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5" w:history="1">
              <w:r>
                <w:rPr>
                  <w:rFonts w:ascii="Times New Roman" w:hAnsi="Times New Roman" w:cs="Times New Roman"/>
                  <w:color w:val="0000FF"/>
                  <w:sz w:val="18"/>
                  <w:szCs w:val="18"/>
                </w:rPr>
                <w:t>Poe v. Seaborn, 282 U.S. 101 (1930)</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4" w:name="co_footnote_F20105705367_1"/>
      <w:bookmarkEnd w:id="19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 xml:space="preserve">HYPERLINK "#co_footnoteReference_F20105705367_ID0EMI"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6" w:history="1">
              <w:r>
                <w:rPr>
                  <w:rFonts w:ascii="Times New Roman" w:hAnsi="Times New Roman" w:cs="Times New Roman"/>
                  <w:color w:val="0000FF"/>
                  <w:sz w:val="18"/>
                  <w:szCs w:val="18"/>
                </w:rPr>
                <w:t>I.R.C. S 66 (1988 &amp; Supp. V 1993)</w:t>
              </w:r>
            </w:hyperlink>
            <w:r>
              <w:rPr>
                <w:rFonts w:ascii="Times New Roman" w:hAnsi="Times New Roman" w:cs="Times New Roman"/>
                <w:color w:val="000000"/>
                <w:sz w:val="18"/>
                <w:szCs w:val="18"/>
              </w:rPr>
              <w:t xml:space="preserve"> provides some limited relief from liability for spouses who do not significantly share in community income. A discussion of </w:t>
            </w:r>
            <w:hyperlink r:id="rId47" w:history="1">
              <w:r>
                <w:rPr>
                  <w:rFonts w:ascii="Times New Roman" w:hAnsi="Times New Roman" w:cs="Times New Roman"/>
                  <w:color w:val="0000FF"/>
                  <w:sz w:val="18"/>
                  <w:szCs w:val="18"/>
                </w:rPr>
                <w:t>S 66</w:t>
              </w:r>
            </w:hyperlink>
            <w:r>
              <w:rPr>
                <w:rFonts w:ascii="Times New Roman" w:hAnsi="Times New Roman" w:cs="Times New Roman"/>
                <w:color w:val="000000"/>
                <w:sz w:val="18"/>
                <w:szCs w:val="18"/>
              </w:rPr>
              <w:t xml:space="preserve"> is outside of the scope of this article.</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5" w:name="co_footnote_F21105705367_1"/>
      <w:bookmarkEnd w:id="19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"#co_footnoteReference_F21105705367_ID0EPI"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Pub. L. No. 83-280, 67 Stat. 588 (1953) (codified as amended in scattered sections of 18, 26 U.S.C.) (hereinafter referred to as </w:t>
            </w:r>
            <w:r>
              <w:rPr>
                <w:rFonts w:ascii="Times New Roman" w:hAnsi="Times New Roman" w:cs="Times New Roman"/>
                <w:color w:val="000000"/>
                <w:sz w:val="18"/>
                <w:szCs w:val="18"/>
              </w:rPr>
              <w:t>“</w:t>
            </w:r>
            <w:r>
              <w:rPr>
                <w:rFonts w:ascii="Times New Roman" w:hAnsi="Times New Roman" w:cs="Times New Roman"/>
                <w:color w:val="000000"/>
                <w:sz w:val="18"/>
                <w:szCs w:val="18"/>
              </w:rPr>
              <w:t>Public Law 280</w:t>
            </w:r>
            <w:r>
              <w:rPr>
                <w:rFonts w:ascii="Times New Roman" w:hAnsi="Times New Roman" w:cs="Times New Roman"/>
                <w:color w:val="000000"/>
                <w:sz w:val="18"/>
                <w:szCs w:val="18"/>
              </w:rPr>
              <w:t>”</w:t>
            </w:r>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6" w:name="co_footnote_F22105705367_1"/>
      <w:bookmarkEnd w:id="19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"#co_footnoteReference_F22105705367_ID0EWI"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Estate of Millie Cross, Deceased, Silas V. Cross, Administrator, v. Commissioner of Internal Revenue, Docket No. 24163-90 (United States Tax Court, filed November 29, 1990). Comm</w:t>
            </w:r>
            <w:r>
              <w:rPr>
                <w:rFonts w:ascii="Times New Roman" w:hAnsi="Times New Roman" w:cs="Times New Roman"/>
                <w:color w:val="000000"/>
                <w:sz w:val="18"/>
                <w:szCs w:val="18"/>
              </w:rPr>
              <w:t>unity Property issue certified by the United States Tax Court to the Washington State Supreme Court, No. 61961-1 (Aug. 8, 1994).</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7" w:name="co_footnote_F23105705367_1"/>
      <w:bookmarkEnd w:id="19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"#co_footnoteReference_F23105705367_ID0EFJ"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48" w:history="1">
              <w:r>
                <w:rPr>
                  <w:rFonts w:ascii="Times New Roman" w:hAnsi="Times New Roman" w:cs="Times New Roman"/>
                  <w:color w:val="0000FF"/>
                  <w:sz w:val="18"/>
                  <w:szCs w:val="18"/>
                </w:rPr>
                <w:t>Bryan v. Itasca County, Minnesota, 426 U.S. 373, 379-380 (1976)</w:t>
              </w:r>
            </w:hyperlink>
            <w:r>
              <w:rPr>
                <w:rFonts w:ascii="Times New Roman" w:hAnsi="Times New Roman" w:cs="Times New Roman"/>
                <w:color w:val="000000"/>
                <w:sz w:val="18"/>
                <w:szCs w:val="18"/>
              </w:rPr>
              <w:t xml:space="preserve"> (citing Carole E. Goldberg, Public Law 280: The Limits of State Jurisdiction Over Reservation Indians, 22 UCLA L. Rev. 535, 540-544 (1975)).</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8" w:name="co_footnote_F24105705367_1"/>
      <w:bookmarkEnd w:id="19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"#co_footnoteReference_F24105705367_ID0EIJ"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Prior to Public Law 280, there existed an absence of adequate tribal institutions for law enforcement on Indian Reservations. The tribes lacked</w:t>
            </w:r>
            <w:r>
              <w:rPr>
                <w:rFonts w:ascii="Times New Roman" w:hAnsi="Times New Roman" w:cs="Times New Roman"/>
                <w:color w:val="000000"/>
                <w:sz w:val="18"/>
                <w:szCs w:val="18"/>
              </w:rPr>
              <w:t xml:space="preserve"> the resources to adequately organize to perform function of law enforcement. Additionally, the tribes lacked forums to resolve civil disputes. </w:t>
            </w:r>
            <w:hyperlink r:id="rId49" w:history="1">
              <w:r>
                <w:rPr>
                  <w:rFonts w:ascii="Times New Roman" w:hAnsi="Times New Roman" w:cs="Times New Roman"/>
                  <w:color w:val="0000FF"/>
                  <w:sz w:val="18"/>
                  <w:szCs w:val="18"/>
                </w:rPr>
                <w:t>Bryan, 426 U.S. at 379-380</w:t>
              </w:r>
            </w:hyperlink>
            <w:r>
              <w:rPr>
                <w:rFonts w:ascii="Times New Roman" w:hAnsi="Times New Roman" w:cs="Times New Roman"/>
                <w:color w:val="000000"/>
                <w:sz w:val="18"/>
                <w:szCs w:val="18"/>
              </w:rPr>
              <w:t xml:space="preserve"> (citing H.R. Rep. No. 848, 83d Cong., 1st Ses</w:t>
            </w:r>
            <w:r>
              <w:rPr>
                <w:rFonts w:ascii="Times New Roman" w:hAnsi="Times New Roman" w:cs="Times New Roman"/>
                <w:color w:val="000000"/>
                <w:sz w:val="18"/>
                <w:szCs w:val="18"/>
              </w:rPr>
              <w:t>s., 5-6 (1953), reprinted in 1953 U.S.C.C.A.N. 2409, 2411-2412).</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199" w:name="co_footnote_F25105705367_1"/>
      <w:bookmarkEnd w:id="19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"#co_footnoteReference_F25105705367_ID0ENJ"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Goldberg, supra note 3, at 541.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0" w:name="co_footnote_F26105705367_1"/>
      <w:bookmarkEnd w:id="20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"#co_footnoteReference_F26105705367_ID0E4J"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0" w:history="1">
              <w:r>
                <w:rPr>
                  <w:rFonts w:ascii="Times New Roman" w:hAnsi="Times New Roman" w:cs="Times New Roman"/>
                  <w:color w:val="0000FF"/>
                  <w:sz w:val="18"/>
                  <w:szCs w:val="18"/>
                </w:rPr>
                <w:t>25 U.S.C. S 1322(a)</w:t>
              </w:r>
            </w:hyperlink>
            <w:r>
              <w:rPr>
                <w:rFonts w:ascii="Times New Roman" w:hAnsi="Times New Roman" w:cs="Times New Roman"/>
                <w:color w:val="000000"/>
                <w:sz w:val="18"/>
                <w:szCs w:val="18"/>
              </w:rPr>
              <w:t xml:space="preserve"> (1988) (emphasis added).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1" w:name="co_footnote_F27105705367_1"/>
      <w:bookmarkEnd w:id="20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"#co_footnoteReference_F27105705367_ID0E4K"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1" w:history="1">
              <w:r>
                <w:rPr>
                  <w:rFonts w:ascii="Times New Roman" w:hAnsi="Times New Roman" w:cs="Times New Roman"/>
                  <w:color w:val="0000FF"/>
                  <w:sz w:val="18"/>
                  <w:szCs w:val="18"/>
                </w:rPr>
                <w:t>28 U.S.C. S 1360 (1988)</w:t>
              </w:r>
            </w:hyperlink>
            <w:r>
              <w:rPr>
                <w:rFonts w:ascii="Times New Roman" w:hAnsi="Times New Roman" w:cs="Times New Roman"/>
                <w:color w:val="000000"/>
                <w:sz w:val="18"/>
                <w:szCs w:val="18"/>
              </w:rPr>
              <w:t xml:space="preserve">; </w:t>
            </w:r>
            <w:hyperlink r:id="rId52" w:history="1">
              <w:r>
                <w:rPr>
                  <w:rFonts w:ascii="Times New Roman" w:hAnsi="Times New Roman" w:cs="Times New Roman"/>
                  <w:color w:val="0000FF"/>
                  <w:sz w:val="18"/>
                  <w:szCs w:val="18"/>
                </w:rPr>
                <w:t>18 U.S.C. S 1162 (1988)</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2" w:name="co_footnote_F28105705367_1"/>
      <w:bookmarkEnd w:id="20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"#co_footnoteReference_F28105705367_ID0ECL"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53" w:history="1">
              <w:r>
                <w:rPr>
                  <w:rFonts w:ascii="Times New Roman" w:hAnsi="Times New Roman" w:cs="Times New Roman"/>
                  <w:color w:val="0000FF"/>
                  <w:sz w:val="18"/>
                  <w:szCs w:val="18"/>
                </w:rPr>
                <w:t>28 U.S.C. S 1360 (1988)</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3" w:name="co_footnote_F29105705367_1"/>
      <w:bookmarkEnd w:id="20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"#co_footnoteReference_F29105705367_ID0EGL"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29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Florida, Iowa, Nevada, North Dakota, South Dakota and Utah have assumed full jurisdiction under Public Law 280</w:t>
            </w:r>
            <w:r>
              <w:rPr>
                <w:rFonts w:ascii="Times New Roman" w:hAnsi="Times New Roman" w:cs="Times New Roman"/>
                <w:color w:val="000000"/>
                <w:sz w:val="18"/>
                <w:szCs w:val="18"/>
              </w:rPr>
              <w:t xml:space="preserve">: </w:t>
            </w:r>
            <w:hyperlink r:id="rId54" w:history="1">
              <w:r>
                <w:rPr>
                  <w:rFonts w:ascii="Times New Roman" w:hAnsi="Times New Roman" w:cs="Times New Roman"/>
                  <w:color w:val="0000FF"/>
                  <w:sz w:val="18"/>
                  <w:szCs w:val="18"/>
                </w:rPr>
                <w:t>Fla. Stat. Ann. S 285.16 (West 1991)</w:t>
              </w:r>
            </w:hyperlink>
            <w:r>
              <w:rPr>
                <w:rFonts w:ascii="Times New Roman" w:hAnsi="Times New Roman" w:cs="Times New Roman"/>
                <w:color w:val="000000"/>
                <w:sz w:val="18"/>
                <w:szCs w:val="18"/>
              </w:rPr>
              <w:t xml:space="preserve">; Iowa assumed civil jurisdiction over actions between Indians and other persons within the Sac and Fox Indian settlement in Tama county, </w:t>
            </w:r>
            <w:hyperlink r:id="rId55" w:history="1">
              <w:r>
                <w:rPr>
                  <w:rFonts w:ascii="Times New Roman" w:hAnsi="Times New Roman" w:cs="Times New Roman"/>
                  <w:color w:val="0000FF"/>
                  <w:sz w:val="18"/>
                  <w:szCs w:val="18"/>
                </w:rPr>
                <w:t>Iowa Code Ann. S 1.12 (West 1989)</w:t>
              </w:r>
            </w:hyperlink>
            <w:r>
              <w:rPr>
                <w:rFonts w:ascii="Times New Roman" w:hAnsi="Times New Roman" w:cs="Times New Roman"/>
                <w:color w:val="000000"/>
                <w:sz w:val="18"/>
                <w:szCs w:val="18"/>
              </w:rPr>
              <w:t>; Nevada assumed civil and criminal j</w:t>
            </w:r>
            <w:r>
              <w:rPr>
                <w:rFonts w:ascii="Times New Roman" w:hAnsi="Times New Roman" w:cs="Times New Roman"/>
                <w:color w:val="000000"/>
                <w:sz w:val="18"/>
                <w:szCs w:val="18"/>
              </w:rPr>
              <w:t xml:space="preserve">urisdiction over the Indian tribes within the state that consented to the jurisdiction, </w:t>
            </w:r>
            <w:hyperlink r:id="rId56" w:history="1">
              <w:r>
                <w:rPr>
                  <w:rFonts w:ascii="Times New Roman" w:hAnsi="Times New Roman" w:cs="Times New Roman"/>
                  <w:color w:val="0000FF"/>
                  <w:sz w:val="18"/>
                  <w:szCs w:val="18"/>
                </w:rPr>
                <w:t>Nev. Rev. Stat. Ann. S 41.430</w:t>
              </w:r>
            </w:hyperlink>
            <w:r>
              <w:rPr>
                <w:rFonts w:ascii="Times New Roman" w:hAnsi="Times New Roman" w:cs="Times New Roman"/>
                <w:color w:val="000000"/>
                <w:sz w:val="18"/>
                <w:szCs w:val="18"/>
              </w:rPr>
              <w:t xml:space="preserve"> (Michie 1986); North Dakota assumed civil jurisdiction over the Indian tribes if the tribes consented to the jurisdiction, </w:t>
            </w:r>
            <w:hyperlink r:id="rId57" w:history="1">
              <w:r>
                <w:rPr>
                  <w:rFonts w:ascii="Times New Roman" w:hAnsi="Times New Roman" w:cs="Times New Roman"/>
                  <w:color w:val="0000FF"/>
                  <w:sz w:val="18"/>
                  <w:szCs w:val="18"/>
                </w:rPr>
                <w:t>N.D. C</w:t>
              </w:r>
              <w:r>
                <w:rPr>
                  <w:rFonts w:ascii="Times New Roman" w:hAnsi="Times New Roman" w:cs="Times New Roman"/>
                  <w:color w:val="0000FF"/>
                  <w:sz w:val="18"/>
                  <w:szCs w:val="18"/>
                </w:rPr>
                <w:t>ent. Code SS 27-19-01</w:t>
              </w:r>
            </w:hyperlink>
            <w:r>
              <w:rPr>
                <w:rFonts w:ascii="Times New Roman" w:hAnsi="Times New Roman" w:cs="Times New Roman"/>
                <w:color w:val="000000"/>
                <w:sz w:val="18"/>
                <w:szCs w:val="18"/>
              </w:rPr>
              <w:t xml:space="preserve"> to</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-13 (1991); </w:t>
            </w:r>
            <w:hyperlink r:id="rId58" w:history="1">
              <w:r>
                <w:rPr>
                  <w:rFonts w:ascii="Times New Roman" w:hAnsi="Times New Roman" w:cs="Times New Roman"/>
                  <w:color w:val="0000FF"/>
                  <w:sz w:val="18"/>
                  <w:szCs w:val="18"/>
                </w:rPr>
                <w:t>S.D. Codified Laws Ann. SS 1-1-12</w:t>
              </w:r>
            </w:hyperlink>
            <w:r>
              <w:rPr>
                <w:rFonts w:ascii="Times New Roman" w:hAnsi="Times New Roman" w:cs="Times New Roman"/>
                <w:color w:val="000000"/>
                <w:sz w:val="18"/>
                <w:szCs w:val="18"/>
              </w:rPr>
              <w:t xml:space="preserve"> to -21 (1992); </w:t>
            </w:r>
            <w:hyperlink r:id="rId59" w:history="1">
              <w:r>
                <w:rPr>
                  <w:rFonts w:ascii="Times New Roman" w:hAnsi="Times New Roman" w:cs="Times New Roman"/>
                  <w:color w:val="0000FF"/>
                  <w:sz w:val="18"/>
                  <w:szCs w:val="18"/>
                </w:rPr>
                <w:t>Utah Code Ann. SS 9-9-201</w:t>
              </w:r>
            </w:hyperlink>
            <w:r>
              <w:rPr>
                <w:rFonts w:ascii="Times New Roman" w:hAnsi="Times New Roman" w:cs="Times New Roman"/>
                <w:color w:val="000000"/>
                <w:sz w:val="18"/>
                <w:szCs w:val="18"/>
              </w:rPr>
              <w:t xml:space="preserve"> to -213, repealed by S 63-55-209, effective July 1, 1995 (Michie 1992 &amp; Supp. 1994). Prior to the adoption of Public Law 280, Co</w:t>
            </w:r>
            <w:r>
              <w:rPr>
                <w:rFonts w:ascii="Times New Roman" w:hAnsi="Times New Roman" w:cs="Times New Roman"/>
                <w:color w:val="000000"/>
                <w:sz w:val="18"/>
                <w:szCs w:val="18"/>
              </w:rPr>
              <w:t xml:space="preserve">ngress gave New York criminal and civil jurisdiction over the Indians within New York. </w:t>
            </w:r>
            <w:hyperlink r:id="rId60" w:history="1">
              <w:r>
                <w:rPr>
                  <w:rFonts w:ascii="Times New Roman" w:hAnsi="Times New Roman" w:cs="Times New Roman"/>
                  <w:color w:val="0000FF"/>
                  <w:sz w:val="18"/>
                  <w:szCs w:val="18"/>
                </w:rPr>
                <w:t>25 U.S.C. SS 232</w:t>
              </w:r>
            </w:hyperlink>
            <w:r>
              <w:rPr>
                <w:rFonts w:ascii="Times New Roman" w:hAnsi="Times New Roman" w:cs="Times New Roman"/>
                <w:color w:val="000000"/>
                <w:sz w:val="18"/>
                <w:szCs w:val="18"/>
              </w:rPr>
              <w:t xml:space="preserve">, </w:t>
            </w:r>
            <w:hyperlink r:id="rId61" w:history="1">
              <w:r>
                <w:rPr>
                  <w:rFonts w:ascii="Times New Roman" w:hAnsi="Times New Roman" w:cs="Times New Roman"/>
                  <w:color w:val="0000FF"/>
                  <w:sz w:val="18"/>
                  <w:szCs w:val="18"/>
                </w:rPr>
                <w:t>233 (1988)</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4" w:name="co_footnote_F30105705367_1"/>
      <w:bookmarkEnd w:id="20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"#co_footnoteReference_F30105705367_ID0ETL"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eight subj</w:t>
            </w:r>
            <w:r>
              <w:rPr>
                <w:rFonts w:ascii="Times New Roman" w:hAnsi="Times New Roman" w:cs="Times New Roman"/>
                <w:color w:val="000000"/>
                <w:sz w:val="18"/>
                <w:szCs w:val="18"/>
              </w:rPr>
              <w:t>ect matter areas that Idaho assumed jurisdiction over include: compulsory school attendance; juvenile delinquency and youth rehabilitation; dependent, neglected and abused children; insanities and mental illness; public assistance; domestic relations; oper</w:t>
            </w:r>
            <w:r>
              <w:rPr>
                <w:rFonts w:ascii="Times New Roman" w:hAnsi="Times New Roman" w:cs="Times New Roman"/>
                <w:color w:val="000000"/>
                <w:sz w:val="18"/>
                <w:szCs w:val="18"/>
              </w:rPr>
              <w:t xml:space="preserve">ation and management of motor vehicles upon highways and roads maintained by the county or state, or political subdivision thereof. </w:t>
            </w:r>
            <w:hyperlink r:id="rId62" w:history="1">
              <w:r>
                <w:rPr>
                  <w:rFonts w:ascii="Times New Roman" w:hAnsi="Times New Roman" w:cs="Times New Roman"/>
                  <w:color w:val="0000FF"/>
                  <w:sz w:val="18"/>
                  <w:szCs w:val="18"/>
                </w:rPr>
                <w:t>Idaho Code S 67-5101</w:t>
              </w:r>
            </w:hyperlink>
            <w:r>
              <w:rPr>
                <w:rFonts w:ascii="Times New Roman" w:hAnsi="Times New Roman" w:cs="Times New Roman"/>
                <w:color w:val="000000"/>
                <w:sz w:val="18"/>
                <w:szCs w:val="18"/>
              </w:rPr>
              <w:t xml:space="preserve"> (1989). The Idaho Code also provides for the state to assume additional concurrent civil and cri</w:t>
            </w:r>
            <w:r>
              <w:rPr>
                <w:rFonts w:ascii="Times New Roman" w:hAnsi="Times New Roman" w:cs="Times New Roman"/>
                <w:color w:val="000000"/>
                <w:sz w:val="18"/>
                <w:szCs w:val="18"/>
              </w:rPr>
              <w:t xml:space="preserve">minal jurisdiction where a tribe consents to the additional jurisdiction by the state. </w:t>
            </w:r>
            <w:hyperlink r:id="rId63" w:history="1">
              <w:r>
                <w:rPr>
                  <w:rFonts w:ascii="Times New Roman" w:hAnsi="Times New Roman" w:cs="Times New Roman"/>
                  <w:color w:val="0000FF"/>
                  <w:sz w:val="18"/>
                  <w:szCs w:val="18"/>
                </w:rPr>
                <w:t>Idaho Code S 67-5102</w:t>
              </w:r>
            </w:hyperlink>
            <w:r>
              <w:rPr>
                <w:rFonts w:ascii="Times New Roman" w:hAnsi="Times New Roman" w:cs="Times New Roman"/>
                <w:color w:val="000000"/>
                <w:sz w:val="18"/>
                <w:szCs w:val="18"/>
              </w:rPr>
              <w:t xml:space="preserve"> (1989).</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5" w:name="co_footnote_F31105705367_1"/>
      <w:bookmarkEnd w:id="20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"#co_footnoteReference_F31105705367_ID0EWL"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eight subject matter areas that Washington assumed jurisdiction over include: compulsory school attendance; public assistance; domestic relations; mental illness; juvenile dependency; adoption proceedings; dependent children; and the operation of motor</w:t>
            </w:r>
            <w:r>
              <w:rPr>
                <w:rFonts w:ascii="Times New Roman" w:hAnsi="Times New Roman" w:cs="Times New Roman"/>
                <w:color w:val="000000"/>
                <w:sz w:val="18"/>
                <w:szCs w:val="18"/>
              </w:rPr>
              <w:t xml:space="preserve"> vehicles upon public streets, alleys, roads and highways. </w:t>
            </w:r>
            <w:hyperlink r:id="rId64" w:history="1">
              <w:r>
                <w:rPr>
                  <w:rFonts w:ascii="Times New Roman" w:hAnsi="Times New Roman" w:cs="Times New Roman"/>
                  <w:color w:val="0000FF"/>
                  <w:sz w:val="18"/>
                  <w:szCs w:val="18"/>
                </w:rPr>
                <w:t>Wash. Rev. Code Ann. S 37.12.010 (West 1991)</w:t>
              </w:r>
            </w:hyperlink>
            <w:r>
              <w:rPr>
                <w:rFonts w:ascii="Times New Roman" w:hAnsi="Times New Roman" w:cs="Times New Roman"/>
                <w:color w:val="000000"/>
                <w:sz w:val="18"/>
                <w:szCs w:val="18"/>
              </w:rPr>
              <w:t>. The Washington Code also provides for the state to assume additional civil and criminal jurisdiction where a tribe consents to the additional j</w:t>
            </w:r>
            <w:r>
              <w:rPr>
                <w:rFonts w:ascii="Times New Roman" w:hAnsi="Times New Roman" w:cs="Times New Roman"/>
                <w:color w:val="000000"/>
                <w:sz w:val="18"/>
                <w:szCs w:val="18"/>
              </w:rPr>
              <w:t xml:space="preserve">urisdiction by the state. </w:t>
            </w:r>
            <w:hyperlink r:id="rId65" w:history="1">
              <w:r>
                <w:rPr>
                  <w:rFonts w:ascii="Times New Roman" w:hAnsi="Times New Roman" w:cs="Times New Roman"/>
                  <w:color w:val="0000FF"/>
                  <w:sz w:val="18"/>
                  <w:szCs w:val="18"/>
                </w:rPr>
                <w:t>Wash. Rev. Code Ann. S 37.12.021 (West 1991)</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6" w:name="co_footnote_F32105705367_1"/>
      <w:bookmarkEnd w:id="20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"#co_footnoteReference_F32105705367_ID0EZL"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Arizona only assumed criminal and civil jurisdiction over air</w:t>
            </w:r>
            <w:r>
              <w:rPr>
                <w:rFonts w:ascii="Times New Roman" w:hAnsi="Times New Roman" w:cs="Times New Roman"/>
                <w:color w:val="000000"/>
                <w:sz w:val="18"/>
                <w:szCs w:val="18"/>
              </w:rPr>
              <w:t xml:space="preserve"> pollution on Indian lands. </w:t>
            </w:r>
            <w:hyperlink r:id="rId66" w:history="1">
              <w:r>
                <w:rPr>
                  <w:rFonts w:ascii="Times New Roman" w:hAnsi="Times New Roman" w:cs="Times New Roman"/>
                  <w:color w:val="0000FF"/>
                  <w:sz w:val="18"/>
                  <w:szCs w:val="18"/>
                </w:rPr>
                <w:t>Ariz. Rev. Stat. Ann. S 49-561</w:t>
              </w:r>
            </w:hyperlink>
            <w:r>
              <w:rPr>
                <w:rFonts w:ascii="Times New Roman" w:hAnsi="Times New Roman" w:cs="Times New Roman"/>
                <w:color w:val="000000"/>
                <w:sz w:val="18"/>
                <w:szCs w:val="18"/>
              </w:rPr>
              <w:t xml:space="preserve"> (1988).</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7" w:name="co_footnote_F33105705367_1"/>
      <w:bookmarkEnd w:id="20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 xml:space="preserve">HYPERLINK "#co_footnoteReference_F33105705367_ID0E5L"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67" w:history="1">
              <w:r>
                <w:rPr>
                  <w:rFonts w:ascii="Times New Roman" w:hAnsi="Times New Roman" w:cs="Times New Roman"/>
                  <w:color w:val="0000FF"/>
                  <w:sz w:val="18"/>
                  <w:szCs w:val="18"/>
                </w:rPr>
                <w:t>Washington v. Confederated Bands and Tribes of the Yakima Indian Nat</w:t>
              </w:r>
              <w:r>
                <w:rPr>
                  <w:rFonts w:ascii="Times New Roman" w:hAnsi="Times New Roman" w:cs="Times New Roman"/>
                  <w:color w:val="0000FF"/>
                  <w:sz w:val="18"/>
                  <w:szCs w:val="18"/>
                </w:rPr>
                <w:t>ion, 439 U.S. 463 (1979)</w:t>
              </w:r>
            </w:hyperlink>
            <w:r>
              <w:rPr>
                <w:rFonts w:ascii="Times New Roman" w:hAnsi="Times New Roman" w:cs="Times New Roman"/>
                <w:color w:val="000000"/>
                <w:sz w:val="18"/>
                <w:szCs w:val="18"/>
              </w:rPr>
              <w:t xml:space="preserve">, reh’g denied, </w:t>
            </w:r>
            <w:hyperlink r:id="rId68" w:history="1">
              <w:r>
                <w:rPr>
                  <w:rFonts w:ascii="Times New Roman" w:hAnsi="Times New Roman" w:cs="Times New Roman"/>
                  <w:color w:val="0000FF"/>
                  <w:sz w:val="18"/>
                  <w:szCs w:val="18"/>
                </w:rPr>
                <w:t>440 U.S. 940 (1979)</w:t>
              </w:r>
            </w:hyperlink>
            <w:r>
              <w:rPr>
                <w:rFonts w:ascii="Times New Roman" w:hAnsi="Times New Roman" w:cs="Times New Roman"/>
                <w:color w:val="000000"/>
                <w:sz w:val="18"/>
                <w:szCs w:val="18"/>
              </w:rPr>
              <w:t>. This case held that Washington’s partial civil and criminal jurisdiction assumption over eight subject matter areas was constitutional.</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8" w:name="co_footnote_F34105705367_1"/>
      <w:bookmarkEnd w:id="20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"#co_footnoteReference_F34105705367_ID0ELM"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69" w:history="1">
              <w:r>
                <w:rPr>
                  <w:rFonts w:ascii="Times New Roman" w:hAnsi="Times New Roman" w:cs="Times New Roman"/>
                  <w:color w:val="0000FF"/>
                  <w:sz w:val="18"/>
                  <w:szCs w:val="18"/>
                </w:rPr>
                <w:t>25 U.S.C. S 1326 (1988)</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09" w:name="co_footnote_F35105705367_1"/>
      <w:bookmarkEnd w:id="20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"#co_footnoteReference_F35105705367_ID0EOM"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Public Law 280 states </w:t>
            </w:r>
            <w:r>
              <w:rPr>
                <w:rFonts w:ascii="Times New Roman" w:hAnsi="Times New Roman" w:cs="Times New Roman"/>
                <w:color w:val="000000"/>
                <w:sz w:val="18"/>
                <w:szCs w:val="18"/>
              </w:rPr>
              <w:t>in this Article refers to both states required to assume jurisdiction and those states electing to assume jurisdiction under Public Law 280.</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0" w:name="co_footnote_F36105705367_1"/>
      <w:bookmarkEnd w:id="21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"#co_footnoteReference_F36105705367_ID0ESM"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This is only </w:t>
            </w:r>
            <w:r>
              <w:rPr>
                <w:rFonts w:ascii="Times New Roman" w:hAnsi="Times New Roman" w:cs="Times New Roman"/>
                <w:color w:val="000000"/>
                <w:sz w:val="18"/>
                <w:szCs w:val="18"/>
              </w:rPr>
              <w:t>“</w:t>
            </w:r>
            <w:r>
              <w:rPr>
                <w:rFonts w:ascii="Times New Roman" w:hAnsi="Times New Roman" w:cs="Times New Roman"/>
                <w:color w:val="000000"/>
                <w:sz w:val="18"/>
                <w:szCs w:val="18"/>
              </w:rPr>
              <w:t>arguable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in states such as Washington, which assumed criminal and civil jurisdiction over, among other things, </w:t>
            </w:r>
            <w:r>
              <w:rPr>
                <w:rFonts w:ascii="Times New Roman" w:hAnsi="Times New Roman" w:cs="Times New Roman"/>
                <w:color w:val="000000"/>
                <w:sz w:val="18"/>
                <w:szCs w:val="18"/>
              </w:rPr>
              <w:t>“</w:t>
            </w:r>
            <w:r>
              <w:rPr>
                <w:rFonts w:ascii="Times New Roman" w:hAnsi="Times New Roman" w:cs="Times New Roman"/>
                <w:color w:val="000000"/>
                <w:sz w:val="18"/>
                <w:szCs w:val="18"/>
              </w:rPr>
              <w:t>domestic relations.</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hyperlink r:id="rId70" w:history="1">
              <w:r>
                <w:rPr>
                  <w:rFonts w:ascii="Times New Roman" w:hAnsi="Times New Roman" w:cs="Times New Roman"/>
                  <w:color w:val="0000FF"/>
                  <w:sz w:val="18"/>
                  <w:szCs w:val="18"/>
                </w:rPr>
                <w:t>Wash. Rev. Code Ann. S 37.12.010</w:t>
              </w:r>
            </w:hyperlink>
            <w:r>
              <w:rPr>
                <w:rFonts w:ascii="Times New Roman" w:hAnsi="Times New Roman" w:cs="Times New Roman"/>
                <w:color w:val="000000"/>
                <w:sz w:val="18"/>
                <w:szCs w:val="18"/>
              </w:rPr>
              <w:t xml:space="preserve"> (1994). This might be limited to </w:t>
            </w:r>
            <w:r>
              <w:rPr>
                <w:rFonts w:ascii="Times New Roman" w:hAnsi="Times New Roman" w:cs="Times New Roman"/>
                <w:color w:val="000000"/>
                <w:sz w:val="18"/>
                <w:szCs w:val="18"/>
              </w:rPr>
              <w:t>“</w:t>
            </w:r>
            <w:r>
              <w:rPr>
                <w:rFonts w:ascii="Times New Roman" w:hAnsi="Times New Roman" w:cs="Times New Roman"/>
                <w:color w:val="000000"/>
                <w:sz w:val="18"/>
                <w:szCs w:val="18"/>
              </w:rPr>
              <w:t>traditional</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forms of domestic re</w:t>
            </w:r>
            <w:r>
              <w:rPr>
                <w:rFonts w:ascii="Times New Roman" w:hAnsi="Times New Roman" w:cs="Times New Roman"/>
                <w:color w:val="000000"/>
                <w:sz w:val="18"/>
                <w:szCs w:val="18"/>
              </w:rPr>
              <w:t xml:space="preserve">lations, such as the divorce and child support provisions of Washington law, or it could be broad enough to include all aspects of Washington Revised Code Annotated Title 26 (Domestic Relations), which includes the community property laws of that state. </w:t>
            </w:r>
            <w:hyperlink r:id="rId71" w:history="1">
              <w:r>
                <w:rPr>
                  <w:rFonts w:ascii="Times New Roman" w:hAnsi="Times New Roman" w:cs="Times New Roman"/>
                  <w:color w:val="0000FF"/>
                  <w:sz w:val="18"/>
                  <w:szCs w:val="18"/>
                </w:rPr>
                <w:t>Wash. Rev. Code Ann. SS 26.16.010</w:t>
              </w:r>
            </w:hyperlink>
            <w:r>
              <w:rPr>
                <w:rFonts w:ascii="Times New Roman" w:hAnsi="Times New Roman" w:cs="Times New Roman"/>
                <w:color w:val="000000"/>
                <w:sz w:val="18"/>
                <w:szCs w:val="18"/>
              </w:rPr>
              <w:t xml:space="preserve"> - .250 (1986 &amp; Supp. 1995). The states can not affect the ownership of trust property. Public Law 280; Cf. </w:t>
            </w:r>
            <w:hyperlink r:id="rId72" w:history="1">
              <w:r>
                <w:rPr>
                  <w:rFonts w:ascii="Times New Roman" w:hAnsi="Times New Roman" w:cs="Times New Roman"/>
                  <w:color w:val="0000FF"/>
                  <w:sz w:val="18"/>
                  <w:szCs w:val="18"/>
                </w:rPr>
                <w:t>County of Yakima v. Confederated Tribes and Bands of the Yakima Nation, 502 U.S. 251 (1991)</w:t>
              </w:r>
            </w:hyperlink>
            <w:r>
              <w:rPr>
                <w:rFonts w:ascii="Times New Roman" w:hAnsi="Times New Roman" w:cs="Times New Roman"/>
                <w:color w:val="000000"/>
                <w:sz w:val="18"/>
                <w:szCs w:val="18"/>
              </w:rPr>
              <w:t xml:space="preserve">. In any case, </w:t>
            </w:r>
            <w:r>
              <w:rPr>
                <w:rFonts w:ascii="Times New Roman" w:hAnsi="Times New Roman" w:cs="Times New Roman"/>
                <w:color w:val="000000"/>
                <w:sz w:val="18"/>
                <w:szCs w:val="18"/>
              </w:rPr>
              <w:t>Indians living outside of Indian country are subject to the same rights and responsibilities as other state citizens under a state’s jurisdiction.</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1" w:name="co_footnote_F37105705367_1"/>
      <w:bookmarkEnd w:id="21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"#co_footnoteReference_F37105705367_ID0EGN"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w:t>
            </w:r>
            <w:r>
              <w:rPr>
                <w:rFonts w:ascii="Times New Roman" w:hAnsi="Times New Roman" w:cs="Times New Roman"/>
                <w:color w:val="0000FF"/>
                <w:sz w:val="18"/>
                <w:szCs w:val="18"/>
                <w:vertAlign w:val="superscript"/>
              </w:rPr>
              <w:t>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See Goldberg, supra note 3.</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2" w:name="co_footnote_F38105705367_1"/>
      <w:bookmarkEnd w:id="21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"#co_footnoteReference_F38105705367_ID0EAO"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3" w:history="1">
              <w:r>
                <w:rPr>
                  <w:rFonts w:ascii="Times New Roman" w:hAnsi="Times New Roman" w:cs="Times New Roman"/>
                  <w:color w:val="0000FF"/>
                  <w:sz w:val="18"/>
                  <w:szCs w:val="18"/>
                </w:rPr>
                <w:t>Bryan, 426 U.S. at 385 n.10</w:t>
              </w:r>
            </w:hyperlink>
            <w:r>
              <w:rPr>
                <w:rFonts w:ascii="Times New Roman" w:hAnsi="Times New Roman" w:cs="Times New Roman"/>
                <w:color w:val="000000"/>
                <w:sz w:val="18"/>
                <w:szCs w:val="18"/>
              </w:rPr>
              <w:t xml:space="preserve"> (quoting Daniel H. Israel &amp; Thomas L. S</w:t>
            </w:r>
            <w:r>
              <w:rPr>
                <w:rFonts w:ascii="Times New Roman" w:hAnsi="Times New Roman" w:cs="Times New Roman"/>
                <w:color w:val="000000"/>
                <w:sz w:val="18"/>
                <w:szCs w:val="18"/>
              </w:rPr>
              <w:t xml:space="preserve">mithson, Indian Taxation, Tribal Sovereignty and Economic Development, 49 N.D. L. Rev. 267, 296 (1973)). Felix Cohen’s handbook on Indian Law states that </w:t>
            </w:r>
            <w:r>
              <w:rPr>
                <w:rFonts w:ascii="Times New Roman" w:hAnsi="Times New Roman" w:cs="Times New Roman"/>
                <w:color w:val="000000"/>
                <w:sz w:val="18"/>
                <w:szCs w:val="18"/>
              </w:rPr>
              <w:t>“</w:t>
            </w:r>
            <w:r>
              <w:rPr>
                <w:rFonts w:ascii="Times New Roman" w:hAnsi="Times New Roman" w:cs="Times New Roman"/>
                <w:color w:val="000000"/>
                <w:sz w:val="18"/>
                <w:szCs w:val="18"/>
              </w:rPr>
              <w:t>The courts have construed Public Law 280 to leave substantial governmental authority with the tribes,</w:t>
            </w:r>
            <w:r>
              <w:rPr>
                <w:rFonts w:ascii="Times New Roman" w:hAnsi="Times New Roman" w:cs="Times New Roman"/>
                <w:color w:val="000000"/>
                <w:sz w:val="18"/>
                <w:szCs w:val="18"/>
              </w:rPr>
              <w:t xml:space="preserve"> holding that the statute should be interpreted to delegate to the states that jurisdiction which Congress clearly intended to transfer.</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Felix S. Cohen’s Handbook of Federal Indian Law 344-45 (1982) (emphasis added).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3" w:name="co_footnote_F39105705367_1"/>
      <w:bookmarkEnd w:id="21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"#co_footnoteReference_F39105705367_ID0EUO"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39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4" w:history="1">
              <w:r>
                <w:rPr>
                  <w:rFonts w:ascii="Times New Roman" w:hAnsi="Times New Roman" w:cs="Times New Roman"/>
                  <w:color w:val="0000FF"/>
                  <w:sz w:val="18"/>
                  <w:szCs w:val="18"/>
                </w:rPr>
                <w:t>Confederated Tribes of the Colville Reservation v. State of Washington, 938 F.2d 146, 147 (9th Cir. 1991)</w:t>
              </w:r>
            </w:hyperlink>
            <w:r>
              <w:rPr>
                <w:rFonts w:ascii="Times New Roman" w:hAnsi="Times New Roman" w:cs="Times New Roman"/>
                <w:color w:val="000000"/>
                <w:sz w:val="18"/>
                <w:szCs w:val="18"/>
              </w:rPr>
              <w:t>. See also Stephen L. Pe</w:t>
            </w:r>
            <w:r>
              <w:rPr>
                <w:rFonts w:ascii="Times New Roman" w:hAnsi="Times New Roman" w:cs="Times New Roman"/>
                <w:color w:val="000000"/>
                <w:sz w:val="18"/>
                <w:szCs w:val="18"/>
              </w:rPr>
              <w:t xml:space="preserve">var, The Rights of Indians and Tribes: The Basic ACLU Guide to Indian and Tribal Rights 161 (2d ed. 1992); Sandra Hansen, </w:t>
            </w:r>
            <w:hyperlink r:id="rId75" w:history="1">
              <w:r>
                <w:rPr>
                  <w:rFonts w:ascii="Times New Roman" w:hAnsi="Times New Roman" w:cs="Times New Roman"/>
                  <w:color w:val="0000FF"/>
                  <w:sz w:val="18"/>
                  <w:szCs w:val="18"/>
                </w:rPr>
                <w:t>Survey of Civil Jurisdiction in Indian Country 1990, 16 Am. Indian L. Rev. 319, 338 (1991)</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4" w:name="co_footnote_F40105705367_1"/>
      <w:bookmarkEnd w:id="21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"#co_footnoteReference_F40105705367_ID0EYO"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Pevar, supra note 39, at 161.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5" w:name="co_footnote_F41105705367_1"/>
      <w:bookmarkEnd w:id="21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"#co_footnoteReference_F41105705367_ID0E1P"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6" w:history="1">
              <w:r>
                <w:rPr>
                  <w:rFonts w:ascii="Times New Roman" w:hAnsi="Times New Roman" w:cs="Times New Roman"/>
                  <w:color w:val="0000FF"/>
                  <w:sz w:val="18"/>
                  <w:szCs w:val="18"/>
                </w:rPr>
                <w:t>28 U.S.C. S 1360 (1988)</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6" w:name="co_footnote_F42105705367_1"/>
      <w:bookmarkEnd w:id="21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"#co_footnoteReference_F42105705367_ID0ELQ"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7" w:history="1">
              <w:r>
                <w:rPr>
                  <w:rFonts w:ascii="Times New Roman" w:hAnsi="Times New Roman" w:cs="Times New Roman"/>
                  <w:color w:val="0000FF"/>
                  <w:sz w:val="18"/>
                  <w:szCs w:val="18"/>
                </w:rPr>
                <w:t>Bryan v. Itasca County, 426 U.S. 373 (1975)</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7" w:name="co_footnote_F43105705367_1"/>
      <w:bookmarkEnd w:id="21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"#co_footnoteReference_F43105705367_ID0E1Q"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8" w:name="co_footnote_F44105705367_1"/>
      <w:bookmarkEnd w:id="21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"#co_footnoteReference_F44105705367_ID0EOR"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 at 383-84 (emphasis added</w:t>
            </w:r>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19" w:name="co_footnote_F45105705367_1"/>
      <w:bookmarkEnd w:id="21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"#co_footnoteReference_F45105705367_ID0EMS"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Id. at 385. The opinion refers to another possible interpretation of S 4(a): Civil laws </w:t>
            </w:r>
            <w:r>
              <w:rPr>
                <w:rFonts w:ascii="Times New Roman" w:hAnsi="Times New Roman" w:cs="Times New Roman"/>
                <w:color w:val="000000"/>
                <w:sz w:val="18"/>
                <w:szCs w:val="18"/>
              </w:rPr>
              <w:t>“</w:t>
            </w:r>
            <w:r>
              <w:rPr>
                <w:rFonts w:ascii="Times New Roman" w:hAnsi="Times New Roman" w:cs="Times New Roman"/>
                <w:color w:val="000000"/>
                <w:sz w:val="18"/>
                <w:szCs w:val="18"/>
              </w:rPr>
              <w:t>would include the laws of contract, tort, marriag</w:t>
            </w:r>
            <w:r>
              <w:rPr>
                <w:rFonts w:ascii="Times New Roman" w:hAnsi="Times New Roman" w:cs="Times New Roman"/>
                <w:color w:val="000000"/>
                <w:sz w:val="18"/>
                <w:szCs w:val="18"/>
              </w:rPr>
              <w:t>e, divorce, insanity, descent. . .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Id. at 384 n.10 (quoting Daniel H. Israel &amp; Thomas L. Smithson, Indian Taxation, Tribal Sovereignty and Economic Development, 49 N.D. L. Rev. 267, 296 (1973)). Such an interpretation would include community property pr</w:t>
            </w:r>
            <w:r>
              <w:rPr>
                <w:rFonts w:ascii="Times New Roman" w:hAnsi="Times New Roman" w:cs="Times New Roman"/>
                <w:color w:val="000000"/>
                <w:sz w:val="18"/>
                <w:szCs w:val="18"/>
              </w:rPr>
              <w:t>inciples if a reservation is located in a Public Law 280 community property state. Another commentator suggests that the provision is really limited to the state court’s power to determine civil actions, as opposed to substantive civil law. Richard B. Coll</w:t>
            </w:r>
            <w:r>
              <w:rPr>
                <w:rFonts w:ascii="Times New Roman" w:hAnsi="Times New Roman" w:cs="Times New Roman"/>
                <w:color w:val="000000"/>
                <w:sz w:val="18"/>
                <w:szCs w:val="18"/>
              </w:rPr>
              <w:t>ins, Implied Limitations on the Jurisdiction of Indian Tribes, 54 Wash. L. Rev. 479, 522 (1979).</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0" w:name="co_footnote_F46105705367_1"/>
      <w:bookmarkEnd w:id="22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"#co_footnoteReference_F46105705367_ID0E2S"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See supra note 31.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1" w:name="co_footnote_F47105705367_1"/>
      <w:bookmarkEnd w:id="22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 xml:space="preserve">HYPERLINK "#co_footnoteReference_F47105705367_ID0EDT"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8" w:history="1">
              <w:r>
                <w:rPr>
                  <w:rFonts w:ascii="Times New Roman" w:hAnsi="Times New Roman" w:cs="Times New Roman"/>
                  <w:color w:val="0000FF"/>
                  <w:sz w:val="18"/>
                  <w:szCs w:val="18"/>
                </w:rPr>
                <w:t>Wash. Rev. Code Ann. SS 26.16.010</w:t>
              </w:r>
            </w:hyperlink>
            <w:r>
              <w:rPr>
                <w:rFonts w:ascii="Times New Roman" w:hAnsi="Times New Roman" w:cs="Times New Roman"/>
                <w:color w:val="000000"/>
                <w:sz w:val="18"/>
                <w:szCs w:val="18"/>
              </w:rPr>
              <w:t xml:space="preserve"> - .250 (1986 &amp; Supp. 1995) (dealing with property rights, child custody, the right of a couple to sue</w:t>
            </w:r>
            <w:r>
              <w:rPr>
                <w:rFonts w:ascii="Times New Roman" w:hAnsi="Times New Roman" w:cs="Times New Roman"/>
                <w:color w:val="000000"/>
                <w:sz w:val="18"/>
                <w:szCs w:val="18"/>
              </w:rPr>
              <w:t xml:space="preserve"> each other, and related concepts).</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2" w:name="co_footnote_F48105705367_1"/>
      <w:bookmarkEnd w:id="22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"#co_footnoteReference_F48105705367_ID0ERT"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Black’s Law Dictionary 484 (6th ed. 1990).</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3" w:name="co_footnote_F49105705367_1"/>
      <w:bookmarkEnd w:id="22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w:instrText>
            </w:r>
            <w:r>
              <w:rPr>
                <w:rFonts w:ascii="Times New Roman" w:hAnsi="Times New Roman" w:cs="Times New Roman"/>
                <w:color w:val="000000"/>
                <w:sz w:val="18"/>
                <w:szCs w:val="18"/>
              </w:rPr>
              <w:instrText xml:space="preserve">K "#co_footnoteReference_F49105705367_ID0EEU"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49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 this respect, see supra note 36 and accompanying text.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4" w:name="co_footnote_F50105705367_1"/>
      <w:bookmarkEnd w:id="22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"#co_footnoteReference_F50105705367_ID0EHV"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79" w:history="1">
              <w:r>
                <w:rPr>
                  <w:rFonts w:ascii="Times New Roman" w:hAnsi="Times New Roman" w:cs="Times New Roman"/>
                  <w:color w:val="0000FF"/>
                  <w:sz w:val="18"/>
                  <w:szCs w:val="18"/>
                </w:rPr>
                <w:t>Makah Indian Tribe v. Clallam County, 73 Wash. 2d 677, 440 P.2d 442 (1968)</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5" w:name="co_footnote_F51105705367_1"/>
      <w:bookmarkEnd w:id="22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"#co_footnoteReference_F51105705367_ID0EMV"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0" w:history="1">
              <w:r>
                <w:rPr>
                  <w:rFonts w:ascii="Times New Roman" w:hAnsi="Times New Roman" w:cs="Times New Roman"/>
                  <w:color w:val="0000FF"/>
                  <w:sz w:val="18"/>
                  <w:szCs w:val="18"/>
                </w:rPr>
                <w:t>Id. at 678, 440 P.2d at 443.</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6" w:name="co_footnote_F52105705367_1"/>
      <w:bookmarkEnd w:id="22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"#co_footnoteReference_F52105705367_ID0ERV"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1" w:history="1">
              <w:r>
                <w:rPr>
                  <w:rFonts w:ascii="Times New Roman" w:hAnsi="Times New Roman" w:cs="Times New Roman"/>
                  <w:color w:val="0000FF"/>
                  <w:sz w:val="18"/>
                  <w:szCs w:val="18"/>
                </w:rPr>
                <w:t>Id. at 682; 440 P.2d at 445.</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7" w:name="co_footnote_F53105705367_1"/>
      <w:bookmarkEnd w:id="22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"#co_footnoteReference_F53105705367_ID0EVV"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8" w:name="co_footnote_F54105705367_1"/>
      <w:bookmarkEnd w:id="22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"#co_footnoteReference_F54105705367_ID0ETW"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2" w:history="1">
              <w:r>
                <w:rPr>
                  <w:rFonts w:ascii="Times New Roman" w:hAnsi="Times New Roman" w:cs="Times New Roman"/>
                  <w:color w:val="0000FF"/>
                  <w:sz w:val="18"/>
                  <w:szCs w:val="18"/>
                </w:rPr>
                <w:t>Id. at 682-83, 440 P.2d at 445-46.</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29" w:name="co_footnote_F55105705367_1"/>
      <w:bookmarkEnd w:id="22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"#co_footnoteReference_F55105705367_ID0ERX"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3" w:history="1">
              <w:r>
                <w:rPr>
                  <w:rFonts w:ascii="Times New Roman" w:hAnsi="Times New Roman" w:cs="Times New Roman"/>
                  <w:color w:val="0000FF"/>
                  <w:sz w:val="18"/>
                  <w:szCs w:val="18"/>
                </w:rPr>
                <w:t>Id. at 685, 440 P.2d at 446-4</w:t>
              </w:r>
              <w:r>
                <w:rPr>
                  <w:rFonts w:ascii="Times New Roman" w:hAnsi="Times New Roman" w:cs="Times New Roman"/>
                  <w:color w:val="0000FF"/>
                  <w:sz w:val="18"/>
                  <w:szCs w:val="18"/>
                </w:rPr>
                <w:t>7.</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0" w:name="co_footnote_F56105705367_1"/>
      <w:bookmarkEnd w:id="23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"#co_footnoteReference_F56105705367_ID0EWX"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4" w:history="1">
              <w:r>
                <w:rPr>
                  <w:rFonts w:ascii="Times New Roman" w:hAnsi="Times New Roman" w:cs="Times New Roman"/>
                  <w:color w:val="0000FF"/>
                  <w:sz w:val="18"/>
                  <w:szCs w:val="18"/>
                </w:rPr>
                <w:t>Id. at 685, 440 P.2d at 447.</w:t>
              </w:r>
            </w:hyperlink>
            <w:r>
              <w:rPr>
                <w:rFonts w:ascii="Times New Roman" w:hAnsi="Times New Roman" w:cs="Times New Roman"/>
                <w:color w:val="000000"/>
                <w:sz w:val="18"/>
                <w:szCs w:val="18"/>
              </w:rPr>
              <w:t xml:space="preserve"> See </w:t>
            </w:r>
            <w:hyperlink r:id="rId85" w:history="1">
              <w:r>
                <w:rPr>
                  <w:rFonts w:ascii="Times New Roman" w:hAnsi="Times New Roman" w:cs="Times New Roman"/>
                  <w:color w:val="0000FF"/>
                  <w:sz w:val="18"/>
                  <w:szCs w:val="18"/>
                </w:rPr>
                <w:t>Wash. Rev. Code Ann. S 37.12.070</w:t>
              </w:r>
            </w:hyperlink>
            <w:r>
              <w:rPr>
                <w:rFonts w:ascii="Times New Roman" w:hAnsi="Times New Roman" w:cs="Times New Roman"/>
                <w:color w:val="000000"/>
                <w:sz w:val="18"/>
                <w:szCs w:val="18"/>
              </w:rPr>
              <w:t xml:space="preserve"> (1991); see also, sup</w:t>
            </w:r>
            <w:r>
              <w:rPr>
                <w:rFonts w:ascii="Times New Roman" w:hAnsi="Times New Roman" w:cs="Times New Roman"/>
                <w:color w:val="000000"/>
                <w:sz w:val="18"/>
                <w:szCs w:val="18"/>
              </w:rPr>
              <w:t>ra note 41.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1" w:name="co_footnote_F57105705367_1"/>
      <w:bookmarkEnd w:id="23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"#co_footnoteReference_F57105705367_ID0EIY"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6" w:history="1">
              <w:r>
                <w:rPr>
                  <w:rFonts w:ascii="Times New Roman" w:hAnsi="Times New Roman" w:cs="Times New Roman"/>
                  <w:color w:val="0000FF"/>
                  <w:sz w:val="18"/>
                  <w:szCs w:val="18"/>
                </w:rPr>
                <w:t>73 Wash. 2d at 684, 440 P.2d at 447.</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2" w:name="co_footnote_F58105705367_1"/>
      <w:bookmarkEnd w:id="23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"#co_footnoteReference_F58105705367_ID0EXY"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This is, of course, contrary to usual community property principles. Under Washington law personal property is subject to management by either member of the marital comm</w:t>
            </w:r>
            <w:r>
              <w:rPr>
                <w:rFonts w:ascii="Times New Roman" w:hAnsi="Times New Roman" w:cs="Times New Roman"/>
                <w:color w:val="000000"/>
                <w:sz w:val="18"/>
                <w:szCs w:val="18"/>
              </w:rPr>
              <w:t xml:space="preserve">unity. </w:t>
            </w:r>
            <w:hyperlink r:id="rId87" w:history="1">
              <w:r>
                <w:rPr>
                  <w:rFonts w:ascii="Times New Roman" w:hAnsi="Times New Roman" w:cs="Times New Roman"/>
                  <w:color w:val="0000FF"/>
                  <w:sz w:val="18"/>
                  <w:szCs w:val="18"/>
                </w:rPr>
                <w:t>Wash. Rev. Code Ann. S 26.16.030 (West 1986)</w:t>
              </w:r>
            </w:hyperlink>
            <w:r>
              <w:rPr>
                <w:rFonts w:ascii="Times New Roman" w:hAnsi="Times New Roman" w:cs="Times New Roman"/>
                <w:color w:val="000000"/>
                <w:sz w:val="18"/>
                <w:szCs w:val="18"/>
              </w:rPr>
              <w:t xml:space="preserve">. At the time the Makah case arose, management of community property in Washington was vested solely in the husband. </w:t>
            </w:r>
            <w:hyperlink r:id="rId88" w:history="1">
              <w:r>
                <w:rPr>
                  <w:rFonts w:ascii="Times New Roman" w:hAnsi="Times New Roman" w:cs="Times New Roman"/>
                  <w:color w:val="0000FF"/>
                  <w:sz w:val="18"/>
                  <w:szCs w:val="18"/>
                </w:rPr>
                <w:t>Wash. Rev. Code Ann. S 26.16.030</w:t>
              </w:r>
            </w:hyperlink>
            <w:r>
              <w:rPr>
                <w:rFonts w:ascii="Times New Roman" w:hAnsi="Times New Roman" w:cs="Times New Roman"/>
                <w:color w:val="000000"/>
                <w:sz w:val="18"/>
                <w:szCs w:val="18"/>
              </w:rPr>
              <w:t>, amended by Laws 1972, Ex. Sess., ch. 1</w:t>
            </w:r>
            <w:r>
              <w:rPr>
                <w:rFonts w:ascii="Times New Roman" w:hAnsi="Times New Roman" w:cs="Times New Roman"/>
                <w:color w:val="000000"/>
                <w:sz w:val="18"/>
                <w:szCs w:val="18"/>
              </w:rPr>
              <w:t>08 (1972). See also, Cross supra note 5, at 76.</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3" w:name="co_footnote_F59105705367_1"/>
      <w:bookmarkEnd w:id="23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"#co_footnoteReference_F59105705367_ID0E6Y"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59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89" w:history="1">
              <w:r>
                <w:rPr>
                  <w:rFonts w:ascii="Times New Roman" w:hAnsi="Times New Roman" w:cs="Times New Roman"/>
                  <w:color w:val="0000FF"/>
                  <w:sz w:val="18"/>
                  <w:szCs w:val="18"/>
                </w:rPr>
                <w:t>Wash. Rev. Code Ann. S 37.12.070 (West 1991)</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4" w:name="co_footnote_F60105705367_1"/>
      <w:bookmarkEnd w:id="23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"#co_footnoteReference_F60105705367_ID0ECZ"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Makah Indian Tribe, </w:t>
            </w:r>
            <w:hyperlink r:id="rId90" w:history="1">
              <w:r>
                <w:rPr>
                  <w:rFonts w:ascii="Times New Roman" w:hAnsi="Times New Roman" w:cs="Times New Roman"/>
                  <w:color w:val="0000FF"/>
                  <w:sz w:val="18"/>
                  <w:szCs w:val="18"/>
                </w:rPr>
                <w:t>73 Wash. 2d 677, 440 P.2d 492.</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5" w:name="co_footnote_F61105705367_1"/>
      <w:bookmarkEnd w:id="23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"#co_footnoteReference_F61105705367_ID0EJZ"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Although not a case arising in a Public Law 280 state, </w:t>
            </w:r>
            <w:hyperlink r:id="rId91" w:history="1">
              <w:r>
                <w:rPr>
                  <w:rFonts w:ascii="Times New Roman" w:hAnsi="Times New Roman" w:cs="Times New Roman"/>
                  <w:color w:val="0000FF"/>
                  <w:sz w:val="18"/>
                  <w:szCs w:val="18"/>
                </w:rPr>
                <w:t>Lonewolf v. Lonewolf, 657 P.2d 627 (N.M. 1982)</w:t>
              </w:r>
            </w:hyperlink>
            <w:r>
              <w:rPr>
                <w:rFonts w:ascii="Times New Roman" w:hAnsi="Times New Roman" w:cs="Times New Roman"/>
                <w:color w:val="000000"/>
                <w:sz w:val="18"/>
                <w:szCs w:val="18"/>
              </w:rPr>
              <w:t>, illustrates general acceptance of community property principles in Indian Country. New Mexico’s community property laws were applied to determine owne</w:t>
            </w:r>
            <w:r>
              <w:rPr>
                <w:rFonts w:ascii="Times New Roman" w:hAnsi="Times New Roman" w:cs="Times New Roman"/>
                <w:color w:val="000000"/>
                <w:sz w:val="18"/>
                <w:szCs w:val="18"/>
              </w:rPr>
              <w:t>rship of personal property located on the Santa Lara reservation. The case was strictly a jurisdictional matter.</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6" w:name="co_footnote_F62105705367_1"/>
      <w:bookmarkEnd w:id="23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"#co_footnoteReference_F62105705367_ID0EYZ"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2" w:history="1">
              <w:r>
                <w:rPr>
                  <w:rFonts w:ascii="Times New Roman" w:hAnsi="Times New Roman" w:cs="Times New Roman"/>
                  <w:color w:val="0000FF"/>
                  <w:sz w:val="18"/>
                  <w:szCs w:val="18"/>
                </w:rPr>
                <w:t>104 Idaho 1, 655 P.2d 895 (1</w:t>
              </w:r>
              <w:r>
                <w:rPr>
                  <w:rFonts w:ascii="Times New Roman" w:hAnsi="Times New Roman" w:cs="Times New Roman"/>
                  <w:color w:val="0000FF"/>
                  <w:sz w:val="18"/>
                  <w:szCs w:val="18"/>
                </w:rPr>
                <w:t>982)</w:t>
              </w:r>
            </w:hyperlink>
            <w:r>
              <w:rPr>
                <w:rFonts w:ascii="Times New Roman" w:hAnsi="Times New Roman" w:cs="Times New Roman"/>
                <w:color w:val="000000"/>
                <w:sz w:val="18"/>
                <w:szCs w:val="18"/>
              </w:rPr>
              <w:t>. The case includes an excellent discussion of the background of Public Law 280 and tribal sovereignty.</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7" w:name="co_footnote_F63105705367_1"/>
      <w:bookmarkEnd w:id="23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"#co_footnoteReference_F63105705367_ID0E3Z"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8" w:name="co_footnote_F64105705367_1"/>
      <w:bookmarkEnd w:id="23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"#co_footnoteReference_F64105705367_ID0EL1"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3" w:history="1">
              <w:r>
                <w:rPr>
                  <w:rFonts w:ascii="Times New Roman" w:hAnsi="Times New Roman" w:cs="Times New Roman"/>
                  <w:color w:val="0000FF"/>
                  <w:sz w:val="18"/>
                  <w:szCs w:val="18"/>
                </w:rPr>
                <w:t>Id. at 5, 655 P.2d at 899.</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39" w:name="co_footnote_F65105705367_1"/>
      <w:bookmarkEnd w:id="23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HYPERLINK "#co_footnot</w:instrText>
            </w:r>
            <w:r>
              <w:rPr>
                <w:rFonts w:ascii="Times New Roman" w:hAnsi="Times New Roman" w:cs="Times New Roman"/>
                <w:color w:val="000000"/>
                <w:sz w:val="18"/>
                <w:szCs w:val="18"/>
              </w:rPr>
              <w:instrText xml:space="preserve">eReference_F65105705367_ID0EX1"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4" w:history="1">
              <w:r>
                <w:rPr>
                  <w:rFonts w:ascii="Times New Roman" w:hAnsi="Times New Roman" w:cs="Times New Roman"/>
                  <w:color w:val="0000FF"/>
                  <w:sz w:val="18"/>
                  <w:szCs w:val="18"/>
                </w:rPr>
                <w:t>Id. at 14, 655 P.2d at 908.</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0" w:name="co_footnote_F66105705367_1"/>
      <w:bookmarkEnd w:id="24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"#co_footnoteReference_F66105705367_ID0EG2"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5" w:history="1">
              <w:r>
                <w:rPr>
                  <w:rFonts w:ascii="Times New Roman" w:hAnsi="Times New Roman" w:cs="Times New Roman"/>
                  <w:color w:val="0000FF"/>
                  <w:sz w:val="18"/>
                  <w:szCs w:val="18"/>
                </w:rPr>
                <w:t>Id. at 21, 655 P.2d at 915.</w:t>
              </w:r>
            </w:hyperlink>
            <w:r>
              <w:rPr>
                <w:rFonts w:ascii="Times New Roman" w:hAnsi="Times New Roman" w:cs="Times New Roman"/>
                <w:color w:val="000000"/>
                <w:sz w:val="18"/>
                <w:szCs w:val="18"/>
              </w:rPr>
              <w:t xml:space="preserve"> Mrs. Sheppard, on appe</w:t>
            </w:r>
            <w:r>
              <w:rPr>
                <w:rFonts w:ascii="Times New Roman" w:hAnsi="Times New Roman" w:cs="Times New Roman"/>
                <w:color w:val="000000"/>
                <w:sz w:val="18"/>
                <w:szCs w:val="18"/>
              </w:rPr>
              <w:t xml:space="preserve">al, claimed otherwise as to their cattle operation, not on the basis the property was not subject to community property principles because of the inapplicability of Public Law 280, but because the property was </w:t>
            </w:r>
            <w:r>
              <w:rPr>
                <w:rFonts w:ascii="Times New Roman" w:hAnsi="Times New Roman" w:cs="Times New Roman"/>
                <w:color w:val="000000"/>
                <w:sz w:val="18"/>
                <w:szCs w:val="18"/>
              </w:rPr>
              <w:t>“</w:t>
            </w:r>
            <w:r>
              <w:rPr>
                <w:rFonts w:ascii="Times New Roman" w:hAnsi="Times New Roman" w:cs="Times New Roman"/>
                <w:color w:val="000000"/>
                <w:sz w:val="18"/>
                <w:szCs w:val="18"/>
              </w:rPr>
              <w:t>trust</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property. That argument the Idaho Supr</w:t>
            </w:r>
            <w:r>
              <w:rPr>
                <w:rFonts w:ascii="Times New Roman" w:hAnsi="Times New Roman" w:cs="Times New Roman"/>
                <w:color w:val="000000"/>
                <w:sz w:val="18"/>
                <w:szCs w:val="18"/>
              </w:rPr>
              <w:t xml:space="preserve">eme Court summarily rejected. </w:t>
            </w:r>
            <w:hyperlink r:id="rId96" w:history="1">
              <w:r>
                <w:rPr>
                  <w:rFonts w:ascii="Times New Roman" w:hAnsi="Times New Roman" w:cs="Times New Roman"/>
                  <w:color w:val="0000FF"/>
                  <w:sz w:val="18"/>
                  <w:szCs w:val="18"/>
                </w:rPr>
                <w:t>Id. at 10, 655 P.2d at 904.</w:t>
              </w:r>
            </w:hyperlink>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1" w:name="co_footnote_F67105705367_1"/>
      <w:bookmarkEnd w:id="24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"#co_footnoteReference_F67105705367_ID0EN2"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97" w:history="1">
              <w:r>
                <w:rPr>
                  <w:rFonts w:ascii="Times New Roman" w:hAnsi="Times New Roman" w:cs="Times New Roman"/>
                  <w:color w:val="0000FF"/>
                  <w:sz w:val="18"/>
                  <w:szCs w:val="18"/>
                </w:rPr>
                <w:t>Id. at</w:t>
              </w:r>
              <w:r>
                <w:rPr>
                  <w:rFonts w:ascii="Times New Roman" w:hAnsi="Times New Roman" w:cs="Times New Roman"/>
                  <w:color w:val="0000FF"/>
                  <w:sz w:val="18"/>
                  <w:szCs w:val="18"/>
                </w:rPr>
                <w:t xml:space="preserve"> 13, 655 P.2d at 907.</w:t>
              </w:r>
            </w:hyperlink>
            <w:r>
              <w:rPr>
                <w:rFonts w:ascii="Times New Roman" w:hAnsi="Times New Roman" w:cs="Times New Roman"/>
                <w:color w:val="000000"/>
                <w:sz w:val="18"/>
                <w:szCs w:val="18"/>
              </w:rPr>
              <w:t xml:space="preserve"> The court also concluded that Idaho community property principles were included in the general state provisions dealing with domestic relations. A later case also applied community property principles in a divorce setting. The appl</w:t>
            </w:r>
            <w:r>
              <w:rPr>
                <w:rFonts w:ascii="Times New Roman" w:hAnsi="Times New Roman" w:cs="Times New Roman"/>
                <w:color w:val="000000"/>
                <w:sz w:val="18"/>
                <w:szCs w:val="18"/>
              </w:rPr>
              <w:t xml:space="preserve">icability of community property on the reservation itself was not at issue. </w:t>
            </w:r>
            <w:hyperlink r:id="rId98" w:history="1">
              <w:r>
                <w:rPr>
                  <w:rFonts w:ascii="Times New Roman" w:hAnsi="Times New Roman" w:cs="Times New Roman"/>
                  <w:color w:val="0000FF"/>
                  <w:sz w:val="18"/>
                  <w:szCs w:val="18"/>
                </w:rPr>
                <w:t>Fisher v. Fisher, 104 Idaho 68, 656 P.2d 129 (1982)</w:t>
              </w:r>
            </w:hyperlink>
            <w:r>
              <w:rPr>
                <w:rFonts w:ascii="Times New Roman" w:hAnsi="Times New Roman" w:cs="Times New Roman"/>
                <w:color w:val="000000"/>
                <w:sz w:val="18"/>
                <w:szCs w:val="18"/>
              </w:rPr>
              <w:t>. In Sheppard, the Idaho Supreme Court did not sanction an award of the trust property or reservation property to the non-trib</w:t>
            </w:r>
            <w:r>
              <w:rPr>
                <w:rFonts w:ascii="Times New Roman" w:hAnsi="Times New Roman" w:cs="Times New Roman"/>
                <w:color w:val="000000"/>
                <w:sz w:val="18"/>
                <w:szCs w:val="18"/>
              </w:rPr>
              <w:t xml:space="preserve">al member. It did, however, permit a reimbursement to him for community funds spent on such property. </w:t>
            </w:r>
            <w:hyperlink r:id="rId99" w:history="1">
              <w:r>
                <w:rPr>
                  <w:rFonts w:ascii="Times New Roman" w:hAnsi="Times New Roman" w:cs="Times New Roman"/>
                  <w:color w:val="0000FF"/>
                  <w:sz w:val="18"/>
                  <w:szCs w:val="18"/>
                </w:rPr>
                <w:t>104 Idaho at 21, 655 P.2d at 915 (1982)</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2" w:name="co_footnote_F68105705367_1"/>
      <w:bookmarkEnd w:id="24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HYPERLINK "#co_foot</w:instrText>
            </w:r>
            <w:r>
              <w:rPr>
                <w:rFonts w:ascii="Times New Roman" w:hAnsi="Times New Roman" w:cs="Times New Roman"/>
                <w:color w:val="000000"/>
                <w:sz w:val="18"/>
                <w:szCs w:val="18"/>
              </w:rPr>
              <w:instrText xml:space="preserve">noteReference_F68105705367_ID0E32"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0" w:history="1">
              <w:r>
                <w:rPr>
                  <w:rFonts w:ascii="Times New Roman" w:hAnsi="Times New Roman" w:cs="Times New Roman"/>
                  <w:color w:val="0000FF"/>
                  <w:sz w:val="18"/>
                  <w:szCs w:val="18"/>
                </w:rPr>
                <w:t>Sheppard, 104 Idaho at 20, 655 P.2d at 914.</w:t>
              </w:r>
            </w:hyperlink>
            <w:r>
              <w:rPr>
                <w:rFonts w:ascii="Times New Roman" w:hAnsi="Times New Roman" w:cs="Times New Roman"/>
                <w:color w:val="000000"/>
                <w:sz w:val="18"/>
                <w:szCs w:val="18"/>
              </w:rPr>
              <w:t xml:space="preserve"> This is not unusual in the case of tribes located in community property states. Tribal codes often closely reflect state community</w:t>
            </w:r>
            <w:r>
              <w:rPr>
                <w:rFonts w:ascii="Times New Roman" w:hAnsi="Times New Roman" w:cs="Times New Roman"/>
                <w:color w:val="000000"/>
                <w:sz w:val="18"/>
                <w:szCs w:val="18"/>
              </w:rPr>
              <w:t xml:space="preserve"> property rules. But the reflection is not perfect. See, e.g. the community property laws of New Mexico, </w:t>
            </w:r>
            <w:hyperlink r:id="rId101" w:history="1">
              <w:r>
                <w:rPr>
                  <w:rFonts w:ascii="Times New Roman" w:hAnsi="Times New Roman" w:cs="Times New Roman"/>
                  <w:color w:val="0000FF"/>
                  <w:sz w:val="18"/>
                  <w:szCs w:val="18"/>
                </w:rPr>
                <w:t>N.M. Stat. Ann. SS 40-3-1</w:t>
              </w:r>
            </w:hyperlink>
            <w:r>
              <w:rPr>
                <w:rFonts w:ascii="Times New Roman" w:hAnsi="Times New Roman" w:cs="Times New Roman"/>
                <w:color w:val="000000"/>
                <w:sz w:val="18"/>
                <w:szCs w:val="18"/>
              </w:rPr>
              <w:t xml:space="preserve"> to -17 (Michie 1994); cf. the Jicarilla Apache Tribal Code, Jicarilla Apache Tribal Code, tit. 3, SS 3 and 7 (1987). Th</w:t>
            </w:r>
            <w:r>
              <w:rPr>
                <w:rFonts w:ascii="Times New Roman" w:hAnsi="Times New Roman" w:cs="Times New Roman"/>
                <w:color w:val="000000"/>
                <w:sz w:val="18"/>
                <w:szCs w:val="18"/>
              </w:rPr>
              <w:t>e latter is much shorter than the former.</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3" w:name="co_footnote_F69105705367_1"/>
      <w:bookmarkEnd w:id="24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"#co_footnoteReference_F69105705367_ID0EA3"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69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adoption of the tribal code of community property principles indeed suggests that the issue was moot, whether or not Public Law 280 forced community property principles on reservations located in Idaho.</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4" w:name="co_footnote_F70105705367_1"/>
      <w:bookmarkEnd w:id="24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"#co_footnoteReference_F70105705367_ID0EP3"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In the Matter of Silas V. Cross, deceased. Case No. 92-2491, Order Allowing Final Account and Order of Distribution, September 30, 1992. The Tribal Court specifically found that </w:t>
            </w:r>
            <w:r>
              <w:rPr>
                <w:rFonts w:ascii="Times New Roman" w:hAnsi="Times New Roman" w:cs="Times New Roman"/>
                <w:color w:val="000000"/>
                <w:sz w:val="18"/>
                <w:szCs w:val="18"/>
              </w:rPr>
              <w:t>“</w:t>
            </w:r>
            <w:r>
              <w:rPr>
                <w:rFonts w:ascii="Times New Roman" w:hAnsi="Times New Roman" w:cs="Times New Roman"/>
                <w:color w:val="000000"/>
                <w:sz w:val="18"/>
                <w:szCs w:val="18"/>
              </w:rPr>
              <w:t>the communi</w:t>
            </w:r>
            <w:r>
              <w:rPr>
                <w:rFonts w:ascii="Times New Roman" w:hAnsi="Times New Roman" w:cs="Times New Roman"/>
                <w:color w:val="000000"/>
                <w:sz w:val="18"/>
                <w:szCs w:val="18"/>
              </w:rPr>
              <w:t>ty property laws of the State of Washington have no force or effect in this matter as the decedent was a Puyallup tribal member who lived and worked on trust lands within the exterior boundaries of the Puyallup Indian Reservation for his entire adult life.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 similar order was entered when his wife, Millie Cross, died. In the Matter of the Estate Of Millie Cross, deceased. Case No. 92-2445, Order Allowing Final Account and Order of Distribution, November 13, 1992. (The Puyallup Tribe has since adopted commu</w:t>
            </w:r>
            <w:r>
              <w:rPr>
                <w:rFonts w:ascii="Times New Roman" w:hAnsi="Times New Roman" w:cs="Times New Roman"/>
                <w:color w:val="000000"/>
                <w:sz w:val="18"/>
                <w:szCs w:val="18"/>
              </w:rPr>
              <w:t>nity property rules in its tribal code). See infra note 72.</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5" w:name="co_footnote_F71105705367_1"/>
      <w:bookmarkEnd w:id="24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"#co_footnoteReference_F71105705367_ID0E23"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See supra note 22.</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6" w:name="co_footnote_F72105705367_1"/>
      <w:bookmarkEnd w:id="24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w:instrText>
            </w:r>
            <w:r>
              <w:rPr>
                <w:rFonts w:ascii="Times New Roman" w:hAnsi="Times New Roman" w:cs="Times New Roman"/>
                <w:color w:val="000000"/>
                <w:sz w:val="18"/>
                <w:szCs w:val="18"/>
              </w:rPr>
              <w:instrText xml:space="preserve">K "#co_footnoteReference_F72105705367_ID0EK4"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Inquiries where mailed to the 542 federally recognized Indian tribes in the United States. The Indian Tribes were asked if their tribe had adopted Community Property laws. The individual Indian tribes th</w:t>
            </w:r>
            <w:r>
              <w:rPr>
                <w:rFonts w:ascii="Times New Roman" w:hAnsi="Times New Roman" w:cs="Times New Roman"/>
                <w:color w:val="000000"/>
                <w:sz w:val="18"/>
                <w:szCs w:val="18"/>
              </w:rPr>
              <w:t>at responded had no consistent opinion on whether community property laws applied to the Indians in Indian country (records on file, Gonzaga University College of Law; copies on file, University of Idaho, College of Law).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7" w:name="co_footnote_F73105705367_1"/>
      <w:bookmarkEnd w:id="24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"#co_footnoteReference_F73105705367_ID0EN4"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For example, the Lummi Indian Business Council has adopted community property laws. Lummi Indian Nation Tribal Code SS 11.3.01 - .04. See also Letter from Shirley Leckma</w:t>
            </w:r>
            <w:r>
              <w:rPr>
                <w:rFonts w:ascii="Times New Roman" w:hAnsi="Times New Roman" w:cs="Times New Roman"/>
                <w:color w:val="000000"/>
                <w:sz w:val="18"/>
                <w:szCs w:val="18"/>
              </w:rPr>
              <w:t>n, Reservation Counsel, Lummi Indian Business Council, to Katti Telstad, Gonzaga University School of Law (Nov. 8, 1994) (on file with the University of Idaho Law Review).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8" w:name="co_footnote_F74105705367_1"/>
      <w:bookmarkEnd w:id="24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HYPERLINK "#co_footnoteReferen</w:instrText>
            </w:r>
            <w:r>
              <w:rPr>
                <w:rFonts w:ascii="Times New Roman" w:hAnsi="Times New Roman" w:cs="Times New Roman"/>
                <w:color w:val="000000"/>
                <w:sz w:val="18"/>
                <w:szCs w:val="18"/>
              </w:rPr>
              <w:instrText xml:space="preserve">ce_F74105705367_ID0EQ4"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Kalispell Tribe believes that the community property laws of Washington apply to the Kalispell Reservation on a concurrent basis. Additionally, the Kalispell tribe has not adopted its own community property laws. Letter f</w:t>
            </w:r>
            <w:r>
              <w:rPr>
                <w:rFonts w:ascii="Times New Roman" w:hAnsi="Times New Roman" w:cs="Times New Roman"/>
                <w:color w:val="000000"/>
                <w:sz w:val="18"/>
                <w:szCs w:val="18"/>
              </w:rPr>
              <w:t>rom Dave Bonga, Kalispell Tribe of Indians, to Katti Telstad, Gonzaga University School of Law (Sept. 13, 1994) (on file with the University of Idaho Law Review).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49" w:name="co_footnote_F75105705367_1"/>
      <w:bookmarkEnd w:id="24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HYPERLINK "#co_footnoteReference_F75105</w:instrText>
            </w:r>
            <w:r>
              <w:rPr>
                <w:rFonts w:ascii="Times New Roman" w:hAnsi="Times New Roman" w:cs="Times New Roman"/>
                <w:color w:val="000000"/>
                <w:sz w:val="18"/>
                <w:szCs w:val="18"/>
              </w:rPr>
              <w:instrText xml:space="preserve">705367_ID0EU4"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Tulalip Tribe has not adopted the community property laws of Washington. Letter from Tulalip Tribe to Katti Telstad, Gonzaga University School of Law (on file with the University of Idaho Law Review). The Port Gamble S’Klallam Tri</w:t>
            </w:r>
            <w:r>
              <w:rPr>
                <w:rFonts w:ascii="Times New Roman" w:hAnsi="Times New Roman" w:cs="Times New Roman"/>
                <w:color w:val="000000"/>
                <w:sz w:val="18"/>
                <w:szCs w:val="18"/>
              </w:rPr>
              <w:t>be has not adopted community property laws either. Letter from Tallis Woodward, Tribal Attorney, Port Gamble S’Klallam Tribe, to Katti Telstad, Gonzaga University School of Law (Sept. 12, 1994) (on file with the University of Idaho Law Review).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0" w:name="co_footnote_F76105705367_1"/>
      <w:bookmarkEnd w:id="25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 xml:space="preserve">HYPERLINK "#co_footnoteReference_F76105705367_ID0ED6"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Indian Tribal Codes: A Microfiche Collection of Indian Tribal Law Codes 22 (Ralph Johnson &amp; Richard Davies eds., 1988).</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1" w:name="co_footnote_F77105705367_1"/>
      <w:bookmarkEnd w:id="25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"#co_footnoteReference_F77105705367_ID0EAA"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 at 23.</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2" w:name="co_footnote_F78105705367_1"/>
      <w:bookmarkEnd w:id="25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"#co_footnoteReference_F78105705367_ID0ESA"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 at 23.</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3" w:name="co_footnote_F79105705367_1"/>
      <w:bookmarkEnd w:id="25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"#co_footnoteReference_F79105705367_ID0EVA"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79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Lummi Indian Nation Tribal Code SS 11.3.01 - .04. See also Letter from Shirley Leckman, Reservation Counsel, Lummi Indian Business Council, to Katti Telstad, Gonzaga Uni</w:t>
            </w:r>
            <w:r>
              <w:rPr>
                <w:rFonts w:ascii="Times New Roman" w:hAnsi="Times New Roman" w:cs="Times New Roman"/>
                <w:color w:val="000000"/>
                <w:sz w:val="18"/>
                <w:szCs w:val="18"/>
              </w:rPr>
              <w:t>versity School of Law (Nov. 8, 1994) (on file with the University of Idaho Law Review).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4" w:name="co_footnote_F80105705367_1"/>
      <w:bookmarkEnd w:id="25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"#co_footnoteReference_F80105705367_ID0EYA"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Swinomish Tribal Community Code SS 9-3.010 - .140. See also Letter from Rusty Kuntze, Swinomish Indian Tribal Community, to Katti Telstad, Gonzaga University College of Law (Sept. 6, 1994) (on file with the University of Idaho Law Review).</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5" w:name="co_footnote_F81105705367_1"/>
      <w:bookmarkEnd w:id="25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"#co_footnoteReference_F81105705367_ID0E2A"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Fort Belknap Indian Community Tribal Code tit. IX (1979).</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6" w:name="co_footnote_F82105705367_1"/>
      <w:bookmarkEnd w:id="25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HYPERLINK "#co_footnoteReference_F82105705367</w:instrText>
            </w:r>
            <w:r>
              <w:rPr>
                <w:rFonts w:ascii="Times New Roman" w:hAnsi="Times New Roman" w:cs="Times New Roman"/>
                <w:color w:val="000000"/>
                <w:sz w:val="18"/>
                <w:szCs w:val="18"/>
              </w:rPr>
              <w:instrText xml:space="preserve">_ID0E5A"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Yavapai Prescott Indian Tribal Code S 3.10 (1979).</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7" w:name="co_footnote_F83105705367_1"/>
      <w:bookmarkEnd w:id="25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"#co_footnoteReference_F83105705367_ID0EBB"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Yerington Paiute Tribal Code SS 9.30.010 - .70 (1977).</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8" w:name="co_footnote_F84105705367_1"/>
      <w:bookmarkEnd w:id="25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"#co_footnoteReference_F84105705367_ID0EEB"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Colville Confederated Tribes Tribal Code S 13.5.03(5) (1987).</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59" w:name="co_footnote_F85105705367_1"/>
      <w:bookmarkEnd w:id="25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"#co_footnoteReference_F85105705367_ID0EHB"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Chehalis Tribal Code SS 11.3.01 - .04 (1985).</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0" w:name="co_footnote_F86105705367_1"/>
      <w:bookmarkEnd w:id="26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"#co_footnoteReference_F86105705367_ID0ELB"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Brief for Petitioner at 3, Estate </w:t>
            </w:r>
            <w:r>
              <w:rPr>
                <w:rFonts w:ascii="Times New Roman" w:hAnsi="Times New Roman" w:cs="Times New Roman"/>
                <w:color w:val="000000"/>
                <w:sz w:val="18"/>
                <w:szCs w:val="18"/>
              </w:rPr>
              <w:t>of Cross v. Commissioner of Internal Revenue, issue certified to Washington State Supreme Court (No. 61961-1) (Aug. 8, 1994).</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1" w:name="co_footnote_F87105705367_1"/>
      <w:bookmarkEnd w:id="26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"#co_footnoteReference_F87105705367_ID0EEC"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2" w:history="1">
              <w:r>
                <w:rPr>
                  <w:rFonts w:ascii="Times New Roman" w:hAnsi="Times New Roman" w:cs="Times New Roman"/>
                  <w:color w:val="0000FF"/>
                  <w:sz w:val="18"/>
                  <w:szCs w:val="18"/>
                </w:rPr>
                <w:t>Commissioner of Internal Revenue v. Estate of Bosch, 387 U.S. 456, 465 (1967)</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2" w:name="co_footnote_F88105705367_1"/>
      <w:bookmarkEnd w:id="26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"#co_footnoteReference_F88105705367_ID0EOC"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Id.</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3" w:name="co_footnote_F89105705367_1"/>
      <w:bookmarkEnd w:id="26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"#co_footnoteReference_F89105705367_ID0EBD"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89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See supra note 22.</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4" w:name="co_footnote_F90105705367_1"/>
      <w:bookmarkEnd w:id="264"/>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"#co_footnoteReference_F90105705367_ID0EPD"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90</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As an illustration of just how diff</w:t>
            </w:r>
            <w:r>
              <w:rPr>
                <w:rFonts w:ascii="Times New Roman" w:hAnsi="Times New Roman" w:cs="Times New Roman"/>
                <w:color w:val="000000"/>
                <w:sz w:val="18"/>
                <w:szCs w:val="18"/>
              </w:rPr>
              <w:t xml:space="preserve">icult this can be, consider the comment in a 1981 discussion of Indian Tribal Codes: </w:t>
            </w:r>
            <w:r>
              <w:rPr>
                <w:rFonts w:ascii="Times New Roman" w:hAnsi="Times New Roman" w:cs="Times New Roman"/>
                <w:color w:val="000000"/>
                <w:sz w:val="18"/>
                <w:szCs w:val="18"/>
              </w:rPr>
              <w:t>“</w:t>
            </w:r>
            <w:r>
              <w:rPr>
                <w:rFonts w:ascii="Times New Roman" w:hAnsi="Times New Roman" w:cs="Times New Roman"/>
                <w:color w:val="000000"/>
                <w:sz w:val="18"/>
                <w:szCs w:val="18"/>
              </w:rPr>
              <w:t>Tribal law can be either written or oral. Tribal law that is generally known and observed by the tribal community as a whole, but that is not written down, typically is d</w:t>
            </w:r>
            <w:r>
              <w:rPr>
                <w:rFonts w:ascii="Times New Roman" w:hAnsi="Times New Roman" w:cs="Times New Roman"/>
                <w:color w:val="000000"/>
                <w:sz w:val="18"/>
                <w:szCs w:val="18"/>
              </w:rPr>
              <w:t xml:space="preserve">escribed as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Customary law.’ . . . In theory, customary oral law and written law have equal weight when presented to a tribal court.</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Indian Tribal Codes: A Microfiche Collection of Indian Tribal Law Codes 8-9 (Ralph W. Johnson &amp; Susan Lupton eds., 1981).</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5" w:name="co_footnote_F91105705367_1"/>
      <w:bookmarkEnd w:id="265"/>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"#co_footnoteReference_F91105705367_ID0ELE"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91</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McClanahan, supra note 4, at 405-30. See also </w:t>
            </w:r>
            <w:hyperlink r:id="rId103" w:history="1">
              <w:r>
                <w:rPr>
                  <w:rFonts w:ascii="Times New Roman" w:hAnsi="Times New Roman" w:cs="Times New Roman"/>
                  <w:color w:val="0000FF"/>
                  <w:sz w:val="18"/>
                  <w:szCs w:val="18"/>
                </w:rPr>
                <w:t>Rev. Rul. 77-359, 1977-2 C.B. 24</w:t>
              </w:r>
            </w:hyperlink>
            <w:r>
              <w:rPr>
                <w:rFonts w:ascii="Times New Roman" w:hAnsi="Times New Roman" w:cs="Times New Roman"/>
                <w:color w:val="000000"/>
                <w:sz w:val="18"/>
                <w:szCs w:val="18"/>
              </w:rPr>
              <w:t xml:space="preserve"> (oral agreement sufficient to change the status of per</w:t>
            </w:r>
            <w:r>
              <w:rPr>
                <w:rFonts w:ascii="Times New Roman" w:hAnsi="Times New Roman" w:cs="Times New Roman"/>
                <w:color w:val="000000"/>
                <w:sz w:val="18"/>
                <w:szCs w:val="18"/>
              </w:rPr>
              <w:t xml:space="preserve">sonal property then owned and thereafter acquired in the State of Washington); </w:t>
            </w:r>
            <w:hyperlink r:id="rId104" w:history="1">
              <w:r>
                <w:rPr>
                  <w:rFonts w:ascii="Times New Roman" w:hAnsi="Times New Roman" w:cs="Times New Roman"/>
                  <w:color w:val="0000FF"/>
                  <w:sz w:val="18"/>
                  <w:szCs w:val="18"/>
                </w:rPr>
                <w:t>Naegle v. Commissioner, 24 T.C.M. (CCH) 1099 (1965)</w:t>
              </w:r>
            </w:hyperlink>
            <w:r>
              <w:rPr>
                <w:rFonts w:ascii="Times New Roman" w:hAnsi="Times New Roman" w:cs="Times New Roman"/>
                <w:color w:val="000000"/>
                <w:sz w:val="18"/>
                <w:szCs w:val="18"/>
              </w:rPr>
              <w:t xml:space="preserve">, aff’d on other grounds, </w:t>
            </w:r>
            <w:hyperlink r:id="rId105" w:history="1">
              <w:r>
                <w:rPr>
                  <w:rFonts w:ascii="Times New Roman" w:hAnsi="Times New Roman" w:cs="Times New Roman"/>
                  <w:color w:val="0000FF"/>
                  <w:sz w:val="18"/>
                  <w:szCs w:val="18"/>
                </w:rPr>
                <w:t>378 F.2d 397 (1967)</w:t>
              </w:r>
            </w:hyperlink>
            <w:r>
              <w:rPr>
                <w:rFonts w:ascii="Times New Roman" w:hAnsi="Times New Roman" w:cs="Times New Roman"/>
                <w:color w:val="000000"/>
                <w:sz w:val="18"/>
                <w:szCs w:val="18"/>
              </w:rPr>
              <w:t xml:space="preserve">, cert. denied, </w:t>
            </w:r>
            <w:hyperlink r:id="rId106" w:history="1">
              <w:r>
                <w:rPr>
                  <w:rFonts w:ascii="Times New Roman" w:hAnsi="Times New Roman" w:cs="Times New Roman"/>
                  <w:color w:val="0000FF"/>
                  <w:sz w:val="18"/>
                  <w:szCs w:val="18"/>
                </w:rPr>
                <w:t>390 U.S. 927 (1968)</w:t>
              </w:r>
            </w:hyperlink>
            <w:r>
              <w:rPr>
                <w:rFonts w:ascii="Times New Roman" w:hAnsi="Times New Roman" w:cs="Times New Roman"/>
                <w:color w:val="000000"/>
                <w:sz w:val="18"/>
                <w:szCs w:val="18"/>
              </w:rPr>
              <w:t xml:space="preserve"> (oral agreement in Arizona sufficie</w:t>
            </w:r>
            <w:r>
              <w:rPr>
                <w:rFonts w:ascii="Times New Roman" w:hAnsi="Times New Roman" w:cs="Times New Roman"/>
                <w:color w:val="000000"/>
                <w:sz w:val="18"/>
                <w:szCs w:val="18"/>
              </w:rPr>
              <w:t xml:space="preserve">nt to change community into separate income); </w:t>
            </w:r>
            <w:hyperlink r:id="rId107" w:history="1">
              <w:r>
                <w:rPr>
                  <w:rFonts w:ascii="Times New Roman" w:hAnsi="Times New Roman" w:cs="Times New Roman"/>
                  <w:color w:val="0000FF"/>
                  <w:sz w:val="18"/>
                  <w:szCs w:val="18"/>
                </w:rPr>
                <w:t>Lucia v. Commissioner, 61 T.C.M. (CCH) 1982 (1991)</w:t>
              </w:r>
            </w:hyperlink>
            <w:r>
              <w:rPr>
                <w:rFonts w:ascii="Times New Roman" w:hAnsi="Times New Roman" w:cs="Times New Roman"/>
                <w:color w:val="000000"/>
                <w:sz w:val="18"/>
                <w:szCs w:val="18"/>
              </w:rPr>
              <w:t xml:space="preserve"> (California spouse failed to prove oral agreement that husband’s income would not be community income).</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6" w:name="co_footnote_F92105705367_1"/>
      <w:bookmarkEnd w:id="266"/>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"#co_footnoteReference_F92105705367_ID0EPE"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92</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McClanahan, supra note 4, at 405-30.</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7" w:name="co_footnote_F93105705367_1"/>
      <w:bookmarkEnd w:id="267"/>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fldChar w:fldCharType="begin"/>
            </w:r>
            <w:r>
              <w:rPr>
                <w:rFonts w:ascii="Times New Roman" w:hAnsi="Times New Roman" w:cs="Times New Roman"/>
                <w:color w:val="000000"/>
                <w:sz w:val="18"/>
                <w:szCs w:val="18"/>
              </w:rPr>
              <w:instrText xml:space="preserve">HYPERLINK "#co_footnoteReference_F93105705367_ID0EFF"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93</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See supra note 83</w:t>
            </w:r>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8" w:name="co_footnote_F94105705367_1"/>
      <w:bookmarkEnd w:id="268"/>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"#co_footnoteReference_F94105705367_ID0E3F"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94</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See supra note 3.</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69" w:name="co_footnote_F95105705367_1"/>
      <w:bookmarkEnd w:id="269"/>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"#co_footnoteReference_F95105705367_ID0E6F"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95</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08" w:history="1">
              <w:r>
                <w:rPr>
                  <w:rFonts w:ascii="Times New Roman" w:hAnsi="Times New Roman" w:cs="Times New Roman"/>
                  <w:color w:val="0000FF"/>
                  <w:sz w:val="18"/>
                  <w:szCs w:val="18"/>
                </w:rPr>
                <w:t xml:space="preserve">Whyte </w:t>
              </w:r>
              <w:r>
                <w:rPr>
                  <w:rFonts w:ascii="Times New Roman" w:hAnsi="Times New Roman" w:cs="Times New Roman"/>
                  <w:color w:val="0000FF"/>
                  <w:sz w:val="18"/>
                  <w:szCs w:val="18"/>
                </w:rPr>
                <w:t>v. District Court of Montezuma County, 346 P.2d 1012 (Colo. 1959)</w:t>
              </w:r>
            </w:hyperlink>
            <w:r>
              <w:rPr>
                <w:rFonts w:ascii="Times New Roman" w:hAnsi="Times New Roman" w:cs="Times New Roman"/>
                <w:color w:val="000000"/>
                <w:sz w:val="18"/>
                <w:szCs w:val="18"/>
              </w:rPr>
              <w:t xml:space="preserve">; </w:t>
            </w:r>
            <w:hyperlink r:id="rId109" w:history="1">
              <w:r>
                <w:rPr>
                  <w:rFonts w:ascii="Times New Roman" w:hAnsi="Times New Roman" w:cs="Times New Roman"/>
                  <w:color w:val="0000FF"/>
                  <w:sz w:val="18"/>
                  <w:szCs w:val="18"/>
                </w:rPr>
                <w:t>In re Marriage of Limpy, 636 P.2d 266 (Mont. 1981)</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70" w:name="co_footnote_F96105705367_1"/>
      <w:bookmarkEnd w:id="270"/>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"#co_footnoteReference_F96105705367_ID0EEG"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96</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0" w:history="1">
              <w:r>
                <w:rPr>
                  <w:rFonts w:ascii="Times New Roman" w:hAnsi="Times New Roman" w:cs="Times New Roman"/>
                  <w:color w:val="0000FF"/>
                  <w:sz w:val="18"/>
                  <w:szCs w:val="18"/>
                </w:rPr>
                <w:t>Sanders v. Robinson, 864 F.2d 630, 634 (9th Cir. 1988)</w:t>
              </w:r>
            </w:hyperlink>
            <w:r>
              <w:rPr>
                <w:rFonts w:ascii="Times New Roman" w:hAnsi="Times New Roman" w:cs="Times New Roman"/>
                <w:color w:val="000000"/>
                <w:sz w:val="18"/>
                <w:szCs w:val="18"/>
              </w:rPr>
              <w:t xml:space="preserve">. Contra </w:t>
            </w:r>
            <w:hyperlink r:id="rId111" w:history="1">
              <w:r>
                <w:rPr>
                  <w:rFonts w:ascii="Times New Roman" w:hAnsi="Times New Roman" w:cs="Times New Roman"/>
                  <w:color w:val="0000FF"/>
                  <w:sz w:val="18"/>
                  <w:szCs w:val="18"/>
                </w:rPr>
                <w:t>Harris v. Young 473 N.W.2d 141, 142, 147 (S. D. 1991)</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71" w:name="co_footnote_F97105705367_1"/>
      <w:bookmarkEnd w:id="271"/>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HYPE</w:instrText>
            </w:r>
            <w:r>
              <w:rPr>
                <w:rFonts w:ascii="Times New Roman" w:hAnsi="Times New Roman" w:cs="Times New Roman"/>
                <w:color w:val="000000"/>
                <w:sz w:val="18"/>
                <w:szCs w:val="18"/>
              </w:rPr>
              <w:instrText xml:space="preserve">RLINK "#co_footnoteReference_F97105705367_ID0EIG"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97</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hyperlink r:id="rId112" w:history="1">
              <w:r>
                <w:rPr>
                  <w:rFonts w:ascii="Times New Roman" w:hAnsi="Times New Roman" w:cs="Times New Roman"/>
                  <w:color w:val="0000FF"/>
                  <w:sz w:val="18"/>
                  <w:szCs w:val="18"/>
                </w:rPr>
                <w:t>Wells v. Wells, 451 N.W.2d 402, 406 (S.D. 1990)</w:t>
              </w:r>
            </w:hyperlink>
            <w:r>
              <w:rPr>
                <w:rFonts w:ascii="Times New Roman" w:hAnsi="Times New Roman" w:cs="Times New Roman"/>
                <w:color w:val="000000"/>
                <w:sz w:val="18"/>
                <w:szCs w:val="18"/>
              </w:rPr>
              <w:t>.</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72" w:name="co_footnote_F98105705367_1"/>
      <w:bookmarkEnd w:id="272"/>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"#co_footnoteReference_F98105705367_ID0EWG"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98</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See, e.g. </w:t>
            </w:r>
            <w:hyperlink r:id="rId113" w:history="1">
              <w:r>
                <w:rPr>
                  <w:rFonts w:ascii="Times New Roman" w:hAnsi="Times New Roman" w:cs="Times New Roman"/>
                  <w:color w:val="0000FF"/>
                  <w:sz w:val="18"/>
                  <w:szCs w:val="18"/>
                </w:rPr>
                <w:t>Lonewolf v. Lonewolf, 657 P.2d 627 (N.M. 1982)</w:t>
              </w:r>
            </w:hyperlink>
            <w:r>
              <w:rPr>
                <w:rFonts w:ascii="Times New Roman" w:hAnsi="Times New Roman" w:cs="Times New Roman"/>
                <w:color w:val="000000"/>
                <w:sz w:val="18"/>
                <w:szCs w:val="18"/>
              </w:rPr>
              <w:t>. In most instances of marital divisions the actual status of the property may be irrelevant in any event. Divorce courts tend to divide property acquired during a marriage by other than inher</w:t>
            </w:r>
            <w:r>
              <w:rPr>
                <w:rFonts w:ascii="Times New Roman" w:hAnsi="Times New Roman" w:cs="Times New Roman"/>
                <w:color w:val="000000"/>
                <w:sz w:val="18"/>
                <w:szCs w:val="18"/>
              </w:rPr>
              <w:t xml:space="preserve">itance or gift in an </w:t>
            </w:r>
            <w:r>
              <w:rPr>
                <w:rFonts w:ascii="Times New Roman" w:hAnsi="Times New Roman" w:cs="Times New Roman"/>
                <w:color w:val="000000"/>
                <w:sz w:val="18"/>
                <w:szCs w:val="18"/>
              </w:rPr>
              <w:t>“</w:t>
            </w:r>
            <w:r>
              <w:rPr>
                <w:rFonts w:ascii="Times New Roman" w:hAnsi="Times New Roman" w:cs="Times New Roman"/>
                <w:color w:val="000000"/>
                <w:sz w:val="18"/>
                <w:szCs w:val="18"/>
              </w:rPr>
              <w:t>equitable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manner, whether the jurisdiction is a community or non community property state.</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bookmarkStart w:id="273" w:name="co_footnote_F99105705367_1"/>
      <w:bookmarkEnd w:id="273"/>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HYPERLINK "#co_footnoteReference_F99105705367_ID0EUH" </w:instrText>
            </w:r>
            <w:r w:rsidR="00A82B32">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color w:val="0000FF"/>
                <w:sz w:val="18"/>
                <w:szCs w:val="18"/>
                <w:vertAlign w:val="superscript"/>
              </w:rPr>
              <w:t>99</w:t>
            </w:r>
            <w:r>
              <w:rPr>
                <w:rFonts w:ascii="Times New Roman" w:hAnsi="Times New Roman" w:cs="Times New Roman"/>
                <w:color w:val="000000"/>
                <w:sz w:val="18"/>
                <w:szCs w:val="18"/>
              </w:rPr>
              <w:fldChar w:fldCharType="end"/>
            </w:r>
          </w:p>
          <w:p w:rsidR="00000000" w:rsidRDefault="00A147FB">
            <w:pPr>
              <w:widowControl w:val="0"/>
              <w:autoSpaceDE w:val="0"/>
              <w:autoSpaceDN w:val="0"/>
              <w:adjustRightInd w:val="0"/>
              <w:spacing w:after="0" w:line="240" w:lineRule="auto"/>
              <w:rPr>
                <w:rFonts w:ascii="Times New Roman" w:hAnsi="Times New Roman" w:cs="Times New Roman"/>
                <w:color w:val="000000"/>
                <w:sz w:val="18"/>
                <w:szCs w:val="18"/>
              </w:rPr>
            </w:pPr>
          </w:p>
        </w:tc>
        <w:tc>
          <w:tcPr>
            <w:tcW w:w="9480" w:type="dxa"/>
            <w:tcBorders>
              <w:top w:val="nil"/>
              <w:left w:val="nil"/>
              <w:bottom w:val="nil"/>
              <w:right w:val="nil"/>
            </w:tcBorders>
            <w:tcMar>
              <w:top w:w="90" w:type="dxa"/>
              <w:bottom w:w="90" w:type="dxa"/>
            </w:tcMar>
          </w:tcPr>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DeFuniak &amp; Vaughn, supra note 8, at 38-9.</w:t>
            </w:r>
          </w:p>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147FB">
      <w:pPr>
        <w:widowControl w:val="0"/>
        <w:autoSpaceDE w:val="0"/>
        <w:autoSpaceDN w:val="0"/>
        <w:adjustRightInd w:val="0"/>
        <w:spacing w:after="20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 IDLR 1071</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A147FB">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p w:rsidR="00000000" w:rsidRDefault="00A147FB">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p>
        </w:tc>
        <w:tc>
          <w:tcPr>
            <w:tcW w:w="5760" w:type="dxa"/>
            <w:tcBorders>
              <w:top w:val="single" w:sz="4" w:space="0" w:color="777777"/>
              <w:left w:val="nil"/>
              <w:bottom w:val="nil"/>
              <w:right w:val="nil"/>
            </w:tcBorders>
            <w:tcMar>
              <w:top w:w="100" w:type="dxa"/>
              <w:left w:w="30" w:type="dxa"/>
              <w:right w:w="30" w:type="dxa"/>
            </w:tcMar>
          </w:tcPr>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777777"/>
                <w:sz w:val="20"/>
                <w:szCs w:val="20"/>
              </w:rPr>
            </w:pPr>
            <w:r>
              <w:rPr>
                <w:rFonts w:ascii="Times New Roman" w:hAnsi="Times New Roman" w:cs="Times New Roman"/>
                <w:color w:val="777777"/>
                <w:sz w:val="20"/>
                <w:szCs w:val="20"/>
              </w:rPr>
              <w:t>©</w:t>
            </w:r>
            <w:r>
              <w:rPr>
                <w:rFonts w:ascii="Times New Roman" w:hAnsi="Times New Roman" w:cs="Times New Roman"/>
                <w:color w:val="777777"/>
                <w:sz w:val="20"/>
                <w:szCs w:val="20"/>
              </w:rPr>
              <w:t xml:space="preserve"> 2017 Thomson Reuters. No claim to original U.S. Government Works.</w:t>
            </w:r>
          </w:p>
          <w:p w:rsidR="00000000" w:rsidRDefault="00A147FB">
            <w:pPr>
              <w:widowControl w:val="0"/>
              <w:autoSpaceDE w:val="0"/>
              <w:autoSpaceDN w:val="0"/>
              <w:adjustRightInd w:val="0"/>
              <w:spacing w:after="0" w:line="240" w:lineRule="auto"/>
              <w:ind w:left="30" w:right="30"/>
              <w:jc w:val="right"/>
              <w:rPr>
                <w:rFonts w:ascii="Times New Roman" w:hAnsi="Times New Roman" w:cs="Times New Roman"/>
                <w:color w:val="777777"/>
                <w:sz w:val="20"/>
                <w:szCs w:val="20"/>
              </w:rPr>
            </w:pPr>
          </w:p>
        </w:tc>
      </w:tr>
    </w:tbl>
    <w:p w:rsidR="00000000" w:rsidRDefault="00A147F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A147FB" w:rsidRDefault="00A147FB">
      <w:pPr>
        <w:widowControl w:val="0"/>
        <w:autoSpaceDE w:val="0"/>
        <w:autoSpaceDN w:val="0"/>
        <w:adjustRightInd w:val="0"/>
        <w:spacing w:after="0" w:line="240" w:lineRule="auto"/>
        <w:rPr>
          <w:rFonts w:ascii="Arial" w:hAnsi="Arial" w:cs="Arial"/>
          <w:sz w:val="24"/>
          <w:szCs w:val="24"/>
        </w:rPr>
      </w:pPr>
    </w:p>
    <w:sectPr w:rsidR="00A147FB">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FB" w:rsidRDefault="00A147FB">
      <w:pPr>
        <w:spacing w:after="0" w:line="240" w:lineRule="auto"/>
      </w:pPr>
      <w:r>
        <w:separator/>
      </w:r>
    </w:p>
  </w:endnote>
  <w:endnote w:type="continuationSeparator" w:id="0">
    <w:p w:rsidR="00A147FB" w:rsidRDefault="00A1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8D5D07">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A147FB">
            <w:rPr>
              <w:rFonts w:ascii="Arial" w:hAnsi="Arial" w:cs="Arial"/>
              <w:color w:val="AAAAAA"/>
              <w:sz w:val="20"/>
              <w:szCs w:val="20"/>
            </w:rPr>
            <w:t xml:space="preserve"> </w:t>
          </w:r>
          <w:r w:rsidR="00A147FB">
            <w:rPr>
              <w:rFonts w:ascii="Arial" w:hAnsi="Arial" w:cs="Arial"/>
              <w:color w:val="AAAAAA"/>
              <w:sz w:val="20"/>
              <w:szCs w:val="20"/>
            </w:rPr>
            <w:t>©</w:t>
          </w:r>
          <w:r w:rsidR="00A147FB">
            <w:rPr>
              <w:rFonts w:ascii="Arial" w:hAnsi="Arial" w:cs="Arial"/>
              <w:color w:val="AAAAAA"/>
              <w:sz w:val="20"/>
              <w:szCs w:val="20"/>
            </w:rPr>
            <w:t xml:space="preserve"> 2017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A147FB">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A147F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FB" w:rsidRDefault="00A147FB">
      <w:pPr>
        <w:spacing w:after="0" w:line="240" w:lineRule="auto"/>
      </w:pPr>
      <w:r>
        <w:separator/>
      </w:r>
    </w:p>
  </w:footnote>
  <w:footnote w:type="continuationSeparator" w:id="0">
    <w:p w:rsidR="00A147FB" w:rsidRDefault="00A1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A147FB">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COMMUNITY PROPERTY RULES OR AMERICAN INDIAN..., 31 Idaho L. Rev. 1071</w:t>
          </w:r>
        </w:p>
      </w:tc>
      <w:tc>
        <w:tcPr>
          <w:tcW w:w="700" w:type="dxa"/>
          <w:tcBorders>
            <w:top w:val="nil"/>
            <w:left w:val="nil"/>
            <w:bottom w:val="single" w:sz="8" w:space="0" w:color="AAAAAA"/>
            <w:right w:val="nil"/>
          </w:tcBorders>
          <w:tcMar>
            <w:top w:w="400" w:type="dxa"/>
            <w:bottom w:w="60" w:type="dxa"/>
          </w:tcMar>
        </w:tcPr>
        <w:p w:rsidR="00000000" w:rsidRDefault="00A147FB">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A147FB">
          <w:pPr>
            <w:widowControl w:val="0"/>
            <w:autoSpaceDE w:val="0"/>
            <w:autoSpaceDN w:val="0"/>
            <w:adjustRightInd w:val="0"/>
            <w:spacing w:after="0" w:line="240" w:lineRule="auto"/>
            <w:rPr>
              <w:rFonts w:ascii="Arial" w:hAnsi="Arial" w:cs="Arial"/>
              <w:color w:val="000000"/>
              <w:sz w:val="18"/>
              <w:szCs w:val="18"/>
            </w:rPr>
          </w:pPr>
        </w:p>
      </w:tc>
    </w:tr>
  </w:tbl>
  <w:p w:rsidR="00000000" w:rsidRDefault="00A147FB">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2"/>
    <w:rsid w:val="008D5D07"/>
    <w:rsid w:val="00A147FB"/>
    <w:rsid w:val="00A8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EF9A98-E35A-4CB0-B4F8-0AD1D7C6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_g_ID0EMFAG_1" TargetMode="External"/><Relationship Id="rId21" Type="http://schemas.openxmlformats.org/officeDocument/2006/relationships/hyperlink" Target="#co_g_ID0ESBAG_1" TargetMode="External"/><Relationship Id="rId42" Type="http://schemas.openxmlformats.org/officeDocument/2006/relationships/hyperlink" Target="http://www.westlaw.com/Link/Document/FullText?findType=Y&amp;serNum=1975129747&amp;pubNum=780&amp;originatingDoc=Ic6fb89415adc11dbbd2dfa5ce1d08a25&amp;refType=RP&amp;fi=co_pp_sp_780_427&amp;originationContext=document&amp;vr=3.0&amp;rs=cblt1.0&amp;transitionType=DocumentItem&amp;contextData=(sc.Search)#co_pp_sp_780_427" TargetMode="External"/><Relationship Id="rId47" Type="http://schemas.openxmlformats.org/officeDocument/2006/relationships/hyperlink" Target="http://www.westlaw.com/Link/Document/FullText?findType=L&amp;pubNum=1012823&amp;cite=26USCAS66&amp;originatingDoc=Ic6fb89415adc11dbbd2dfa5ce1d08a25&amp;refType=LQ&amp;originationContext=document&amp;vr=3.0&amp;rs=cblt1.0&amp;transitionType=DocumentItem&amp;contextData=(sc.Search)" TargetMode="External"/><Relationship Id="rId63" Type="http://schemas.openxmlformats.org/officeDocument/2006/relationships/hyperlink" Target="http://www.westlaw.com/Link/Document/FullText?findType=L&amp;pubNum=1000007&amp;cite=IDSTS67-5102&amp;originatingDoc=Ic6fb89415adc11dbbd2dfa5ce1d08a25&amp;refType=LQ&amp;originationContext=document&amp;vr=3.0&amp;rs=cblt1.0&amp;transitionType=DocumentItem&amp;contextData=(sc.Search)" TargetMode="External"/><Relationship Id="rId68" Type="http://schemas.openxmlformats.org/officeDocument/2006/relationships/hyperlink" Target="http://www.westlaw.com/Link/Document/FullText?findType=Y&amp;serNum=1979232465&amp;pubNum=780&amp;originatingDoc=Ic6fb89415adc11dbbd2dfa5ce1d08a25&amp;refType=RP&amp;originationContext=document&amp;vr=3.0&amp;rs=cblt1.0&amp;transitionType=DocumentItem&amp;contextData=(sc.Search)" TargetMode="External"/><Relationship Id="rId84" Type="http://schemas.openxmlformats.org/officeDocument/2006/relationships/hyperlink" Target="http://www.westlaw.com/Link/Document/FullText?findType=Y&amp;serNum=1968128938&amp;pubNum=661&amp;originatingDoc=Ic6fb89415adc11dbbd2dfa5ce1d08a25&amp;refType=RP&amp;fi=co_pp_sp_661_447&amp;originationContext=document&amp;vr=3.0&amp;rs=cblt1.0&amp;transitionType=DocumentItem&amp;contextData=(sc.Search)#co_pp_sp_661_447" TargetMode="External"/><Relationship Id="rId89" Type="http://schemas.openxmlformats.org/officeDocument/2006/relationships/hyperlink" Target="http://www.westlaw.com/Link/Document/FullText?findType=L&amp;pubNum=1000259&amp;cite=WAST37.12.070&amp;originatingDoc=Ic6fb89415adc11dbbd2dfa5ce1d08a25&amp;refType=LQ&amp;originationContext=document&amp;vr=3.0&amp;rs=cblt1.0&amp;transitionType=DocumentItem&amp;contextData=(sc.Search)" TargetMode="External"/><Relationship Id="rId112" Type="http://schemas.openxmlformats.org/officeDocument/2006/relationships/hyperlink" Target="http://www.westlaw.com/Link/Document/FullText?findType=Y&amp;serNum=1990036656&amp;pubNum=595&amp;originatingDoc=Ic6fb89415adc11dbbd2dfa5ce1d08a25&amp;refType=RP&amp;fi=co_pp_sp_595_406&amp;originationContext=document&amp;vr=3.0&amp;rs=cblt1.0&amp;transitionType=DocumentItem&amp;contextData=(sc.Search)#co_pp_sp_595_406" TargetMode="External"/><Relationship Id="rId16" Type="http://schemas.openxmlformats.org/officeDocument/2006/relationships/hyperlink" Target="#co_g_ID0EHKAE_1" TargetMode="External"/><Relationship Id="rId107" Type="http://schemas.openxmlformats.org/officeDocument/2006/relationships/hyperlink" Target="http://www.westlaw.com/Link/Document/FullText?findType=Y&amp;serNum=1991044688&amp;pubNum=1620&amp;originatingDoc=Ic6fb89415adc11dbbd2dfa5ce1d08a25&amp;refType=RP&amp;originationContext=document&amp;vr=3.0&amp;rs=cblt1.0&amp;transitionType=DocumentItem&amp;contextData=(sc.Search)" TargetMode="External"/><Relationship Id="rId11" Type="http://schemas.openxmlformats.org/officeDocument/2006/relationships/hyperlink" Target="#co_g_ID0ECCAE_1" TargetMode="External"/><Relationship Id="rId24" Type="http://schemas.openxmlformats.org/officeDocument/2006/relationships/hyperlink" Target="#co_g_ID0EWDAG_1" TargetMode="External"/><Relationship Id="rId32" Type="http://schemas.openxmlformats.org/officeDocument/2006/relationships/hyperlink" Target="http://www.westlaw.com/Link/Document/FullText?findType=L&amp;pubNum=1000546&amp;cite=25USCAS461&amp;originatingDoc=Ic6fb89415adc11dbbd2dfa5ce1d08a25&amp;refType=LQ&amp;originationContext=document&amp;vr=3.0&amp;rs=cblt1.0&amp;transitionType=DocumentItem&amp;contextData=(sc.Search)" TargetMode="External"/><Relationship Id="rId37" Type="http://schemas.openxmlformats.org/officeDocument/2006/relationships/hyperlink" Target="http://www.westlaw.com/Link/Document/FullText?findType=Y&amp;serNum=1973126361&amp;originatingDoc=Ic6fb89415adc11dbbd2dfa5ce1d08a25&amp;refType=RP&amp;originationContext=document&amp;vr=3.0&amp;rs=cblt1.0&amp;transitionType=DocumentItem&amp;contextData=(sc.Search)" TargetMode="External"/><Relationship Id="rId40" Type="http://schemas.openxmlformats.org/officeDocument/2006/relationships/hyperlink" Target="http://www.westlaw.com/Link/Document/FullText?findType=Y&amp;serNum=1973126361&amp;pubNum=780&amp;originatingDoc=Ic6fb89415adc11dbbd2dfa5ce1d08a25&amp;refType=RP&amp;fi=co_pp_sp_780_168&amp;originationContext=document&amp;vr=3.0&amp;rs=cblt1.0&amp;transitionType=DocumentItem&amp;contextData=(sc.Search)#co_pp_sp_780_168" TargetMode="External"/><Relationship Id="rId45" Type="http://schemas.openxmlformats.org/officeDocument/2006/relationships/hyperlink" Target="http://www.westlaw.com/Link/Document/FullText?findType=Y&amp;serNum=1930122553&amp;pubNum=780&amp;originatingDoc=Ic6fb89415adc11dbbd2dfa5ce1d08a25&amp;refType=RP&amp;originationContext=document&amp;vr=3.0&amp;rs=cblt1.0&amp;transitionType=DocumentItem&amp;contextData=(sc.Search)" TargetMode="External"/><Relationship Id="rId53" Type="http://schemas.openxmlformats.org/officeDocument/2006/relationships/hyperlink" Target="http://www.westlaw.com/Link/Document/FullText?findType=L&amp;pubNum=1000546&amp;cite=28USCAS1360&amp;originatingDoc=Ic6fb89415adc11dbbd2dfa5ce1d08a25&amp;refType=LQ&amp;originationContext=document&amp;vr=3.0&amp;rs=cblt1.0&amp;transitionType=DocumentItem&amp;contextData=(sc.Search)" TargetMode="External"/><Relationship Id="rId58" Type="http://schemas.openxmlformats.org/officeDocument/2006/relationships/hyperlink" Target="http://www.westlaw.com/Link/Document/FullText?findType=L&amp;pubNum=1000359&amp;cite=SDSTS1-1-12&amp;originatingDoc=Ic6fb89415adc11dbbd2dfa5ce1d08a25&amp;refType=LQ&amp;originationContext=document&amp;vr=3.0&amp;rs=cblt1.0&amp;transitionType=DocumentItem&amp;contextData=(sc.Search)" TargetMode="External"/><Relationship Id="rId66" Type="http://schemas.openxmlformats.org/officeDocument/2006/relationships/hyperlink" Target="http://www.westlaw.com/Link/Document/FullText?findType=L&amp;pubNum=1000251&amp;cite=AZSTS49-561&amp;originatingDoc=Ic6fb89415adc11dbbd2dfa5ce1d08a25&amp;refType=LQ&amp;originationContext=document&amp;vr=3.0&amp;rs=cblt1.0&amp;transitionType=DocumentItem&amp;contextData=(sc.Search)" TargetMode="External"/><Relationship Id="rId74" Type="http://schemas.openxmlformats.org/officeDocument/2006/relationships/hyperlink" Target="http://www.westlaw.com/Link/Document/FullText?findType=Y&amp;serNum=1991120007&amp;pubNum=350&amp;originatingDoc=Ic6fb89415adc11dbbd2dfa5ce1d08a25&amp;refType=RP&amp;fi=co_pp_sp_350_147&amp;originationContext=document&amp;vr=3.0&amp;rs=cblt1.0&amp;transitionType=DocumentItem&amp;contextData=(sc.Search)#co_pp_sp_350_147" TargetMode="External"/><Relationship Id="rId79" Type="http://schemas.openxmlformats.org/officeDocument/2006/relationships/hyperlink" Target="http://www.westlaw.com/Link/Document/FullText?findType=Y&amp;serNum=1968128938&amp;pubNum=661&amp;originatingDoc=Ic6fb89415adc11dbbd2dfa5ce1d08a25&amp;refType=RP&amp;originationContext=document&amp;vr=3.0&amp;rs=cblt1.0&amp;transitionType=DocumentItem&amp;contextData=(sc.Search)" TargetMode="External"/><Relationship Id="rId87" Type="http://schemas.openxmlformats.org/officeDocument/2006/relationships/hyperlink" Target="http://www.westlaw.com/Link/Document/FullText?findType=L&amp;pubNum=1000259&amp;cite=WAST26.16.030&amp;originatingDoc=Ic6fb89415adc11dbbd2dfa5ce1d08a25&amp;refType=LQ&amp;originationContext=document&amp;vr=3.0&amp;rs=cblt1.0&amp;transitionType=DocumentItem&amp;contextData=(sc.Search)" TargetMode="External"/><Relationship Id="rId102" Type="http://schemas.openxmlformats.org/officeDocument/2006/relationships/hyperlink" Target="http://www.westlaw.com/Link/Document/FullText?findType=Y&amp;serNum=1967129537&amp;pubNum=780&amp;originatingDoc=Ic6fb89415adc11dbbd2dfa5ce1d08a25&amp;refType=RP&amp;fi=co_pp_sp_780_465&amp;originationContext=document&amp;vr=3.0&amp;rs=cblt1.0&amp;transitionType=DocumentItem&amp;contextData=(sc.Search)#co_pp_sp_780_465" TargetMode="External"/><Relationship Id="rId110" Type="http://schemas.openxmlformats.org/officeDocument/2006/relationships/hyperlink" Target="http://www.westlaw.com/Link/Document/FullText?findType=Y&amp;serNum=1988165865&amp;pubNum=350&amp;originatingDoc=Ic6fb89415adc11dbbd2dfa5ce1d08a25&amp;refType=RP&amp;fi=co_pp_sp_350_634&amp;originationContext=document&amp;vr=3.0&amp;rs=cblt1.0&amp;transitionType=DocumentItem&amp;contextData=(sc.Search)#co_pp_sp_350_634"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westlaw.com/Link/Document/FullText?findType=L&amp;pubNum=1000546&amp;cite=25USCAS233&amp;originatingDoc=Ic6fb89415adc11dbbd2dfa5ce1d08a25&amp;refType=LQ&amp;originationContext=document&amp;vr=3.0&amp;rs=cblt1.0&amp;transitionType=DocumentItem&amp;contextData=(sc.Search)" TargetMode="External"/><Relationship Id="rId82" Type="http://schemas.openxmlformats.org/officeDocument/2006/relationships/hyperlink" Target="http://www.westlaw.com/Link/Document/FullText?findType=Y&amp;serNum=1968128938&amp;pubNum=661&amp;originatingDoc=Ic6fb89415adc11dbbd2dfa5ce1d08a25&amp;refType=RP&amp;fi=co_pp_sp_661_445&amp;originationContext=document&amp;vr=3.0&amp;rs=cblt1.0&amp;transitionType=DocumentItem&amp;contextData=(sc.Search)#co_pp_sp_661_445" TargetMode="External"/><Relationship Id="rId90" Type="http://schemas.openxmlformats.org/officeDocument/2006/relationships/hyperlink" Target="http://www.westlaw.com/Link/Document/FullText?findType=Y&amp;serNum=1968128950&amp;pubNum=661&amp;originatingDoc=Ic6fb89415adc11dbbd2dfa5ce1d08a25&amp;refType=RP&amp;originationContext=document&amp;vr=3.0&amp;rs=cblt1.0&amp;transitionType=DocumentItem&amp;contextData=(sc.Search)" TargetMode="External"/><Relationship Id="rId95" Type="http://schemas.openxmlformats.org/officeDocument/2006/relationships/hyperlink" Target="http://www.westlaw.com/Link/Document/FullText?findType=Y&amp;serNum=1982154526&amp;pubNum=661&amp;originatingDoc=Ic6fb89415adc11dbbd2dfa5ce1d08a25&amp;refType=RP&amp;fi=co_pp_sp_661_915&amp;originationContext=document&amp;vr=3.0&amp;rs=cblt1.0&amp;transitionType=DocumentItem&amp;contextData=(sc.Search)#co_pp_sp_661_915" TargetMode="External"/><Relationship Id="rId19" Type="http://schemas.openxmlformats.org/officeDocument/2006/relationships/hyperlink" Target="#co_g_ID0ESBAG_1" TargetMode="External"/><Relationship Id="rId14" Type="http://schemas.openxmlformats.org/officeDocument/2006/relationships/hyperlink" Target="#co_g_ID0EJEAE_1" TargetMode="External"/><Relationship Id="rId22" Type="http://schemas.openxmlformats.org/officeDocument/2006/relationships/hyperlink" Target="#co_g_ID0EWDAG_1" TargetMode="External"/><Relationship Id="rId27" Type="http://schemas.openxmlformats.org/officeDocument/2006/relationships/hyperlink" Target="#co_g_ID0EMFAG_1" TargetMode="External"/><Relationship Id="rId30" Type="http://schemas.openxmlformats.org/officeDocument/2006/relationships/hyperlink" Target="#co_g_ID0E4GAG_1" TargetMode="External"/><Relationship Id="rId35" Type="http://schemas.openxmlformats.org/officeDocument/2006/relationships/hyperlink" Target="http://www.westlaw.com/Link/Document/FullText?findType=Y&amp;serNum=1995077537&amp;pubNum=661&amp;originatingDoc=Ic6fb89415adc11dbbd2dfa5ce1d08a25&amp;refType=RP&amp;originationContext=document&amp;vr=3.0&amp;rs=cblt1.0&amp;transitionType=DocumentItem&amp;contextData=(sc.Search)" TargetMode="External"/><Relationship Id="rId43" Type="http://schemas.openxmlformats.org/officeDocument/2006/relationships/hyperlink" Target="http://www.westlaw.com/Link/Document/FullText?findType=Y&amp;serNum=1987024297&amp;pubNum=780&amp;originatingDoc=Ic6fb89415adc11dbbd2dfa5ce1d08a25&amp;refType=RP&amp;fi=co_pp_sp_780_207&amp;originationContext=document&amp;vr=3.0&amp;rs=cblt1.0&amp;transitionType=DocumentItem&amp;contextData=(sc.Search)#co_pp_sp_780_207" TargetMode="External"/><Relationship Id="rId48" Type="http://schemas.openxmlformats.org/officeDocument/2006/relationships/hyperlink" Target="http://www.westlaw.com/Link/Document/FullText?findType=Y&amp;serNum=1976142397&amp;pubNum=780&amp;originatingDoc=Ic6fb89415adc11dbbd2dfa5ce1d08a25&amp;refType=RP&amp;fi=co_pp_sp_780_379&amp;originationContext=document&amp;vr=3.0&amp;rs=cblt1.0&amp;transitionType=DocumentItem&amp;contextData=(sc.Search)#co_pp_sp_780_379" TargetMode="External"/><Relationship Id="rId56" Type="http://schemas.openxmlformats.org/officeDocument/2006/relationships/hyperlink" Target="http://www.westlaw.com/Link/Document/FullText?findType=L&amp;pubNum=1000363&amp;cite=NVST41.430&amp;originatingDoc=Ic6fb89415adc11dbbd2dfa5ce1d08a25&amp;refType=LQ&amp;originationContext=document&amp;vr=3.0&amp;rs=cblt1.0&amp;transitionType=DocumentItem&amp;contextData=(sc.Search)" TargetMode="External"/><Relationship Id="rId64" Type="http://schemas.openxmlformats.org/officeDocument/2006/relationships/hyperlink" Target="http://www.westlaw.com/Link/Document/FullText?findType=L&amp;pubNum=1000259&amp;cite=WAST37.12.010&amp;originatingDoc=Ic6fb89415adc11dbbd2dfa5ce1d08a25&amp;refType=LQ&amp;originationContext=document&amp;vr=3.0&amp;rs=cblt1.0&amp;transitionType=DocumentItem&amp;contextData=(sc.Search)" TargetMode="External"/><Relationship Id="rId69" Type="http://schemas.openxmlformats.org/officeDocument/2006/relationships/hyperlink" Target="http://www.westlaw.com/Link/Document/FullText?findType=L&amp;pubNum=1000546&amp;cite=25USCAS1326&amp;originatingDoc=Ic6fb89415adc11dbbd2dfa5ce1d08a25&amp;refType=LQ&amp;originationContext=document&amp;vr=3.0&amp;rs=cblt1.0&amp;transitionType=DocumentItem&amp;contextData=(sc.Search)" TargetMode="External"/><Relationship Id="rId77" Type="http://schemas.openxmlformats.org/officeDocument/2006/relationships/hyperlink" Target="http://www.westlaw.com/Link/Document/FullText?findType=Y&amp;serNum=1976142397&amp;pubNum=780&amp;originatingDoc=Ic6fb89415adc11dbbd2dfa5ce1d08a25&amp;refType=RP&amp;originationContext=document&amp;vr=3.0&amp;rs=cblt1.0&amp;transitionType=DocumentItem&amp;contextData=(sc.Search)" TargetMode="External"/><Relationship Id="rId100" Type="http://schemas.openxmlformats.org/officeDocument/2006/relationships/hyperlink" Target="http://www.westlaw.com/Link/Document/FullText?findType=Y&amp;serNum=1982154526&amp;pubNum=661&amp;originatingDoc=Ic6fb89415adc11dbbd2dfa5ce1d08a25&amp;refType=RP&amp;fi=co_pp_sp_661_914&amp;originationContext=document&amp;vr=3.0&amp;rs=cblt1.0&amp;transitionType=DocumentItem&amp;contextData=(sc.Search)#co_pp_sp_661_914" TargetMode="External"/><Relationship Id="rId105" Type="http://schemas.openxmlformats.org/officeDocument/2006/relationships/hyperlink" Target="http://www.westlaw.com/Link/Document/FullText?findType=Y&amp;serNum=1967116944&amp;pubNum=350&amp;originatingDoc=Ic6fb89415adc11dbbd2dfa5ce1d08a25&amp;refType=RP&amp;originationContext=document&amp;vr=3.0&amp;rs=cblt1.0&amp;transitionType=DocumentItem&amp;contextData=(sc.Search)" TargetMode="External"/><Relationship Id="rId113" Type="http://schemas.openxmlformats.org/officeDocument/2006/relationships/hyperlink" Target="http://www.westlaw.com/Link/Document/FullText?findType=Y&amp;serNum=1983106614&amp;pubNum=661&amp;originatingDoc=Ic6fb89415adc11dbbd2dfa5ce1d08a25&amp;refType=RP&amp;originationContext=document&amp;vr=3.0&amp;rs=cblt1.0&amp;transitionType=DocumentItem&amp;contextData=(sc.Search)" TargetMode="External"/><Relationship Id="rId8" Type="http://schemas.openxmlformats.org/officeDocument/2006/relationships/hyperlink" Target="http://www.westlaw.com/Link/Document/FullText?findType=h&amp;pubNum=176284&amp;cite=0202499701&amp;originatingDoc=Ic6fb89415adc11dbbd2dfa5ce1d08a25&amp;refType=RQ&amp;originationContext=document&amp;vr=3.0&amp;rs=cblt1.0&amp;transitionType=DocumentItem&amp;contextData=(sc.Search)" TargetMode="External"/><Relationship Id="rId51" Type="http://schemas.openxmlformats.org/officeDocument/2006/relationships/hyperlink" Target="http://www.westlaw.com/Link/Document/FullText?findType=L&amp;pubNum=1000546&amp;cite=28USCAS1360&amp;originatingDoc=Ic6fb89415adc11dbbd2dfa5ce1d08a25&amp;refType=LQ&amp;originationContext=document&amp;vr=3.0&amp;rs=cblt1.0&amp;transitionType=DocumentItem&amp;contextData=(sc.Search)" TargetMode="External"/><Relationship Id="rId72" Type="http://schemas.openxmlformats.org/officeDocument/2006/relationships/hyperlink" Target="http://www.westlaw.com/Link/Document/FullText?findType=Y&amp;serNum=1992022722&amp;pubNum=780&amp;originatingDoc=Ic6fb89415adc11dbbd2dfa5ce1d08a25&amp;refType=RP&amp;originationContext=document&amp;vr=3.0&amp;rs=cblt1.0&amp;transitionType=DocumentItem&amp;contextData=(sc.Search)" TargetMode="External"/><Relationship Id="rId80" Type="http://schemas.openxmlformats.org/officeDocument/2006/relationships/hyperlink" Target="http://www.westlaw.com/Link/Document/FullText?findType=Y&amp;serNum=1968128938&amp;pubNum=661&amp;originatingDoc=Ic6fb89415adc11dbbd2dfa5ce1d08a25&amp;refType=RP&amp;fi=co_pp_sp_661_443&amp;originationContext=document&amp;vr=3.0&amp;rs=cblt1.0&amp;transitionType=DocumentItem&amp;contextData=(sc.Search)#co_pp_sp_661_443" TargetMode="External"/><Relationship Id="rId85" Type="http://schemas.openxmlformats.org/officeDocument/2006/relationships/hyperlink" Target="http://www.westlaw.com/Link/Document/FullText?findType=L&amp;pubNum=1000259&amp;cite=WAST37.12.070&amp;originatingDoc=Ic6fb89415adc11dbbd2dfa5ce1d08a25&amp;refType=LQ&amp;originationContext=document&amp;vr=3.0&amp;rs=cblt1.0&amp;transitionType=DocumentItem&amp;contextData=(sc.Search)" TargetMode="External"/><Relationship Id="rId93" Type="http://schemas.openxmlformats.org/officeDocument/2006/relationships/hyperlink" Target="http://www.westlaw.com/Link/Document/FullText?findType=Y&amp;serNum=1982154526&amp;pubNum=661&amp;originatingDoc=Ic6fb89415adc11dbbd2dfa5ce1d08a25&amp;refType=RP&amp;fi=co_pp_sp_661_899&amp;originationContext=document&amp;vr=3.0&amp;rs=cblt1.0&amp;transitionType=DocumentItem&amp;contextData=(sc.Search)#co_pp_sp_661_899" TargetMode="External"/><Relationship Id="rId98" Type="http://schemas.openxmlformats.org/officeDocument/2006/relationships/hyperlink" Target="http://www.westlaw.com/Link/Document/FullText?findType=Y&amp;serNum=1983100384&amp;pubNum=661&amp;originatingDoc=Ic6fb89415adc11dbbd2dfa5ce1d08a25&amp;refType=RP&amp;originationContext=document&amp;vr=3.0&amp;rs=cblt1.0&amp;transitionType=DocumentItem&amp;contextData=(sc.Search)" TargetMode="External"/><Relationship Id="rId3" Type="http://schemas.openxmlformats.org/officeDocument/2006/relationships/webSettings" Target="webSettings.xml"/><Relationship Id="rId12" Type="http://schemas.openxmlformats.org/officeDocument/2006/relationships/hyperlink" Target="#co_g_ID0ECCAE_1" TargetMode="External"/><Relationship Id="rId17" Type="http://schemas.openxmlformats.org/officeDocument/2006/relationships/hyperlink" Target="#co_g_ID0EHKAE_1" TargetMode="External"/><Relationship Id="rId25" Type="http://schemas.openxmlformats.org/officeDocument/2006/relationships/hyperlink" Target="#co_g_ID0EMFAG_1" TargetMode="External"/><Relationship Id="rId33" Type="http://schemas.openxmlformats.org/officeDocument/2006/relationships/hyperlink" Target="http://www.westlaw.com/Link/Document/FullText?findType=L&amp;pubNum=1000546&amp;cite=25USCAS462&amp;originatingDoc=Ic6fb89415adc11dbbd2dfa5ce1d08a25&amp;refType=LQ&amp;originationContext=document&amp;vr=3.0&amp;rs=cblt1.0&amp;transitionType=DocumentItem&amp;contextData=(sc.Search)" TargetMode="External"/><Relationship Id="rId38" Type="http://schemas.openxmlformats.org/officeDocument/2006/relationships/hyperlink" Target="http://www.westlaw.com/Link/Document/FullText?findType=Y&amp;serNum=1982113001&amp;pubNum=661&amp;originatingDoc=Ic6fb89415adc11dbbd2dfa5ce1d08a25&amp;refType=RP&amp;originationContext=document&amp;vr=3.0&amp;rs=cblt1.0&amp;transitionType=DocumentItem&amp;contextData=(sc.Search)" TargetMode="External"/><Relationship Id="rId46" Type="http://schemas.openxmlformats.org/officeDocument/2006/relationships/hyperlink" Target="http://www.westlaw.com/Link/Document/FullText?findType=L&amp;pubNum=1012823&amp;cite=26USCAS66&amp;originatingDoc=Ic6fb89415adc11dbbd2dfa5ce1d08a25&amp;refType=LQ&amp;originationContext=document&amp;vr=3.0&amp;rs=cblt1.0&amp;transitionType=DocumentItem&amp;contextData=(sc.Search)" TargetMode="External"/><Relationship Id="rId59" Type="http://schemas.openxmlformats.org/officeDocument/2006/relationships/hyperlink" Target="http://www.westlaw.com/Link/Document/FullText?findType=L&amp;pubNum=1000511&amp;cite=UTSTS9-9-201&amp;originatingDoc=Ic6fb89415adc11dbbd2dfa5ce1d08a25&amp;refType=LQ&amp;originationContext=document&amp;vr=3.0&amp;rs=cblt1.0&amp;transitionType=DocumentItem&amp;contextData=(sc.Search)" TargetMode="External"/><Relationship Id="rId67" Type="http://schemas.openxmlformats.org/officeDocument/2006/relationships/hyperlink" Target="http://www.westlaw.com/Link/Document/FullText?findType=Y&amp;serNum=1979108021&amp;pubNum=780&amp;originatingDoc=Ic6fb89415adc11dbbd2dfa5ce1d08a25&amp;refType=RP&amp;originationContext=document&amp;vr=3.0&amp;rs=cblt1.0&amp;transitionType=DocumentItem&amp;contextData=(sc.Search)" TargetMode="External"/><Relationship Id="rId103" Type="http://schemas.openxmlformats.org/officeDocument/2006/relationships/hyperlink" Target="http://www.westlaw.com/Link/Document/FullText?findType=Y&amp;serNum=1977019348&amp;pubNum=0001048&amp;originatingDoc=Ic6fb89415adc11dbbd2dfa5ce1d08a25&amp;refType=CA&amp;originationContext=document&amp;vr=3.0&amp;rs=cblt1.0&amp;transitionType=DocumentItem&amp;contextData=(sc.Search)" TargetMode="External"/><Relationship Id="rId108" Type="http://schemas.openxmlformats.org/officeDocument/2006/relationships/hyperlink" Target="http://www.westlaw.com/Link/Document/FullText?findType=Y&amp;serNum=1960120161&amp;pubNum=661&amp;originatingDoc=Ic6fb89415adc11dbbd2dfa5ce1d08a25&amp;refType=RP&amp;originationContext=document&amp;vr=3.0&amp;rs=cblt1.0&amp;transitionType=DocumentItem&amp;contextData=(sc.Search)" TargetMode="External"/><Relationship Id="rId20" Type="http://schemas.openxmlformats.org/officeDocument/2006/relationships/hyperlink" Target="#co_g_ID0ESBAG_1" TargetMode="External"/><Relationship Id="rId41" Type="http://schemas.openxmlformats.org/officeDocument/2006/relationships/hyperlink" Target="http://www.westlaw.com/Link/Document/FullText?findType=L&amp;pubNum=1000546&amp;cite=18USCAS1151&amp;originatingDoc=Ic6fb89415adc11dbbd2dfa5ce1d08a25&amp;refType=LQ&amp;originationContext=document&amp;vr=3.0&amp;rs=cblt1.0&amp;transitionType=DocumentItem&amp;contextData=(sc.Search)" TargetMode="External"/><Relationship Id="rId54" Type="http://schemas.openxmlformats.org/officeDocument/2006/relationships/hyperlink" Target="http://www.westlaw.com/Link/Document/FullText?findType=L&amp;pubNum=1000006&amp;cite=FLSTS285.16&amp;originatingDoc=Ic6fb89415adc11dbbd2dfa5ce1d08a25&amp;refType=LQ&amp;originationContext=document&amp;vr=3.0&amp;rs=cblt1.0&amp;transitionType=DocumentItem&amp;contextData=(sc.Search)" TargetMode="External"/><Relationship Id="rId62" Type="http://schemas.openxmlformats.org/officeDocument/2006/relationships/hyperlink" Target="http://www.westlaw.com/Link/Document/FullText?findType=L&amp;pubNum=1000007&amp;cite=IDSTS67-5101&amp;originatingDoc=Ic6fb89415adc11dbbd2dfa5ce1d08a25&amp;refType=LQ&amp;originationContext=document&amp;vr=3.0&amp;rs=cblt1.0&amp;transitionType=DocumentItem&amp;contextData=(sc.Search)" TargetMode="External"/><Relationship Id="rId70" Type="http://schemas.openxmlformats.org/officeDocument/2006/relationships/hyperlink" Target="http://www.westlaw.com/Link/Document/FullText?findType=L&amp;pubNum=1000259&amp;cite=WAST37.12.010&amp;originatingDoc=Ic6fb89415adc11dbbd2dfa5ce1d08a25&amp;refType=LQ&amp;originationContext=document&amp;vr=3.0&amp;rs=cblt1.0&amp;transitionType=DocumentItem&amp;contextData=(sc.Search)" TargetMode="External"/><Relationship Id="rId75" Type="http://schemas.openxmlformats.org/officeDocument/2006/relationships/hyperlink" Target="http://www.westlaw.com/Link/Document/FullText?findType=Y&amp;serNum=0103108413&amp;pubNum=1087&amp;originatingDoc=Ic6fb89415adc11dbbd2dfa5ce1d08a25&amp;refType=LR&amp;fi=co_pp_sp_1087_338&amp;originationContext=document&amp;vr=3.0&amp;rs=cblt1.0&amp;transitionType=DocumentItem&amp;contextData=(sc.Search)#co_pp_sp_1087_338" TargetMode="External"/><Relationship Id="rId83" Type="http://schemas.openxmlformats.org/officeDocument/2006/relationships/hyperlink" Target="http://www.westlaw.com/Link/Document/FullText?findType=Y&amp;serNum=1968128938&amp;pubNum=661&amp;originatingDoc=Ic6fb89415adc11dbbd2dfa5ce1d08a25&amp;refType=RP&amp;fi=co_pp_sp_661_446&amp;originationContext=document&amp;vr=3.0&amp;rs=cblt1.0&amp;transitionType=DocumentItem&amp;contextData=(sc.Search)#co_pp_sp_661_446" TargetMode="External"/><Relationship Id="rId88" Type="http://schemas.openxmlformats.org/officeDocument/2006/relationships/hyperlink" Target="http://www.westlaw.com/Link/Document/FullText?findType=L&amp;pubNum=1000259&amp;cite=WAST26.16.030&amp;originatingDoc=Ic6fb89415adc11dbbd2dfa5ce1d08a25&amp;refType=LQ&amp;originationContext=document&amp;vr=3.0&amp;rs=cblt1.0&amp;transitionType=DocumentItem&amp;contextData=(sc.Search)" TargetMode="External"/><Relationship Id="rId91" Type="http://schemas.openxmlformats.org/officeDocument/2006/relationships/hyperlink" Target="http://www.westlaw.com/Link/Document/FullText?findType=Y&amp;serNum=1983106614&amp;pubNum=661&amp;originatingDoc=Ic6fb89415adc11dbbd2dfa5ce1d08a25&amp;refType=RP&amp;originationContext=document&amp;vr=3.0&amp;rs=cblt1.0&amp;transitionType=DocumentItem&amp;contextData=(sc.Search)" TargetMode="External"/><Relationship Id="rId96" Type="http://schemas.openxmlformats.org/officeDocument/2006/relationships/hyperlink" Target="http://www.westlaw.com/Link/Document/FullText?findType=Y&amp;serNum=1982154526&amp;pubNum=661&amp;originatingDoc=Ic6fb89415adc11dbbd2dfa5ce1d08a25&amp;refType=RP&amp;fi=co_pp_sp_661_904&amp;originationContext=document&amp;vr=3.0&amp;rs=cblt1.0&amp;transitionType=DocumentItem&amp;contextData=(sc.Search)#co_pp_sp_661_904" TargetMode="External"/><Relationship Id="rId111" Type="http://schemas.openxmlformats.org/officeDocument/2006/relationships/hyperlink" Target="http://www.westlaw.com/Link/Document/FullText?findType=Y&amp;serNum=1991120099&amp;pubNum=595&amp;originatingDoc=Ic6fb89415adc11dbbd2dfa5ce1d08a25&amp;refType=RP&amp;fi=co_pp_sp_595_142&amp;originationContext=document&amp;vr=3.0&amp;rs=cblt1.0&amp;transitionType=DocumentItem&amp;contextData=(sc.Search)#co_pp_sp_595_142"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co_g_ID0EJEAE_1" TargetMode="External"/><Relationship Id="rId23" Type="http://schemas.openxmlformats.org/officeDocument/2006/relationships/hyperlink" Target="#co_g_ID0EWDAG_1" TargetMode="External"/><Relationship Id="rId28" Type="http://schemas.openxmlformats.org/officeDocument/2006/relationships/hyperlink" Target="#co_g_ID0E4GAG_1" TargetMode="External"/><Relationship Id="rId36" Type="http://schemas.openxmlformats.org/officeDocument/2006/relationships/hyperlink" Target="http://www.westlaw.com/Link/Document/FullText?findType=Y&amp;serNum=1973126361&amp;pubNum=780&amp;originatingDoc=Ic6fb89415adc11dbbd2dfa5ce1d08a25&amp;refType=RP&amp;originationContext=document&amp;vr=3.0&amp;rs=cblt1.0&amp;transitionType=DocumentItem&amp;contextData=(sc.Search)" TargetMode="External"/><Relationship Id="rId49" Type="http://schemas.openxmlformats.org/officeDocument/2006/relationships/hyperlink" Target="http://www.westlaw.com/Link/Document/FullText?findType=Y&amp;serNum=1976142397&amp;pubNum=780&amp;originatingDoc=Ic6fb89415adc11dbbd2dfa5ce1d08a25&amp;refType=RP&amp;fi=co_pp_sp_780_379&amp;originationContext=document&amp;vr=3.0&amp;rs=cblt1.0&amp;transitionType=DocumentItem&amp;contextData=(sc.Search)#co_pp_sp_780_379" TargetMode="External"/><Relationship Id="rId57" Type="http://schemas.openxmlformats.org/officeDocument/2006/relationships/hyperlink" Target="http://www.westlaw.com/Link/Document/FullText?findType=L&amp;pubNum=1002016&amp;cite=NDST27-19-01&amp;originatingDoc=Ic6fb89415adc11dbbd2dfa5ce1d08a25&amp;refType=LQ&amp;originationContext=document&amp;vr=3.0&amp;rs=cblt1.0&amp;transitionType=DocumentItem&amp;contextData=(sc.Search)" TargetMode="External"/><Relationship Id="rId106" Type="http://schemas.openxmlformats.org/officeDocument/2006/relationships/hyperlink" Target="http://www.westlaw.com/Link/Document/FullText?findType=Y&amp;serNum=1968201760&amp;pubNum=780&amp;originatingDoc=Ic6fb89415adc11dbbd2dfa5ce1d08a25&amp;refType=RP&amp;originationContext=document&amp;vr=3.0&amp;rs=cblt1.0&amp;transitionType=DocumentItem&amp;contextData=(sc.Search)" TargetMode="External"/><Relationship Id="rId114" Type="http://schemas.openxmlformats.org/officeDocument/2006/relationships/fontTable" Target="fontTable.xml"/><Relationship Id="rId10" Type="http://schemas.openxmlformats.org/officeDocument/2006/relationships/hyperlink" Target="#co_g_ID0ECCAE_1" TargetMode="External"/><Relationship Id="rId31" Type="http://schemas.openxmlformats.org/officeDocument/2006/relationships/hyperlink" Target="http://www.westlaw.com/Link/Document/FullText?findType=L&amp;pubNum=1000546&amp;cite=28USCAS1360&amp;originatingDoc=Ic6fb89415adc11dbbd2dfa5ce1d08a25&amp;refType=LQ&amp;originationContext=document&amp;vr=3.0&amp;rs=cblt1.0&amp;transitionType=DocumentItem&amp;contextData=(sc.Search)" TargetMode="External"/><Relationship Id="rId44" Type="http://schemas.openxmlformats.org/officeDocument/2006/relationships/hyperlink" Target="http://www.westlaw.com/Link/Document/FullText?findType=L&amp;pubNum=1012823&amp;cite=26USCAS1014&amp;originatingDoc=Ic6fb89415adc11dbbd2dfa5ce1d08a25&amp;refType=RB&amp;originationContext=document&amp;vr=3.0&amp;rs=cblt1.0&amp;transitionType=DocumentItem&amp;contextData=(sc.Search)#co_pp_61d20000b6d76" TargetMode="External"/><Relationship Id="rId52" Type="http://schemas.openxmlformats.org/officeDocument/2006/relationships/hyperlink" Target="http://www.westlaw.com/Link/Document/FullText?findType=L&amp;pubNum=1000546&amp;cite=18USCAS1162&amp;originatingDoc=Ic6fb89415adc11dbbd2dfa5ce1d08a25&amp;refType=LQ&amp;originationContext=document&amp;vr=3.0&amp;rs=cblt1.0&amp;transitionType=DocumentItem&amp;contextData=(sc.Search)" TargetMode="External"/><Relationship Id="rId60" Type="http://schemas.openxmlformats.org/officeDocument/2006/relationships/hyperlink" Target="http://www.westlaw.com/Link/Document/FullText?findType=L&amp;pubNum=1000546&amp;cite=25USCAS232&amp;originatingDoc=Ic6fb89415adc11dbbd2dfa5ce1d08a25&amp;refType=LQ&amp;originationContext=document&amp;vr=3.0&amp;rs=cblt1.0&amp;transitionType=DocumentItem&amp;contextData=(sc.Search)" TargetMode="External"/><Relationship Id="rId65" Type="http://schemas.openxmlformats.org/officeDocument/2006/relationships/hyperlink" Target="http://www.westlaw.com/Link/Document/FullText?findType=L&amp;pubNum=1000259&amp;cite=WAST37.12.021&amp;originatingDoc=Ic6fb89415adc11dbbd2dfa5ce1d08a25&amp;refType=LQ&amp;originationContext=document&amp;vr=3.0&amp;rs=cblt1.0&amp;transitionType=DocumentItem&amp;contextData=(sc.Search)" TargetMode="External"/><Relationship Id="rId73" Type="http://schemas.openxmlformats.org/officeDocument/2006/relationships/hyperlink" Target="http://www.westlaw.com/Link/Document/FullText?findType=Y&amp;serNum=1976142397&amp;pubNum=780&amp;originatingDoc=Ic6fb89415adc11dbbd2dfa5ce1d08a25&amp;refType=RP&amp;fi=co_pp_sp_780_385&amp;originationContext=document&amp;vr=3.0&amp;rs=cblt1.0&amp;transitionType=DocumentItem&amp;contextData=(sc.Search)#co_pp_sp_780_385" TargetMode="External"/><Relationship Id="rId78" Type="http://schemas.openxmlformats.org/officeDocument/2006/relationships/hyperlink" Target="http://www.westlaw.com/Link/Document/FullText?findType=L&amp;pubNum=1000259&amp;cite=WAST26.16.010&amp;originatingDoc=Ic6fb89415adc11dbbd2dfa5ce1d08a25&amp;refType=LQ&amp;originationContext=document&amp;vr=3.0&amp;rs=cblt1.0&amp;transitionType=DocumentItem&amp;contextData=(sc.Search)" TargetMode="External"/><Relationship Id="rId81" Type="http://schemas.openxmlformats.org/officeDocument/2006/relationships/hyperlink" Target="http://www.westlaw.com/Link/Document/FullText?findType=Y&amp;serNum=1968128938&amp;pubNum=661&amp;originatingDoc=Ic6fb89415adc11dbbd2dfa5ce1d08a25&amp;refType=RP&amp;fi=co_pp_sp_661_445&amp;originationContext=document&amp;vr=3.0&amp;rs=cblt1.0&amp;transitionType=DocumentItem&amp;contextData=(sc.Search)#co_pp_sp_661_445" TargetMode="External"/><Relationship Id="rId86" Type="http://schemas.openxmlformats.org/officeDocument/2006/relationships/hyperlink" Target="http://www.westlaw.com/Link/Document/FullText?findType=Y&amp;serNum=1968128938&amp;pubNum=661&amp;originatingDoc=Ic6fb89415adc11dbbd2dfa5ce1d08a25&amp;refType=RP&amp;fi=co_pp_sp_661_447&amp;originationContext=document&amp;vr=3.0&amp;rs=cblt1.0&amp;transitionType=DocumentItem&amp;contextData=(sc.Search)#co_pp_sp_661_447" TargetMode="External"/><Relationship Id="rId94" Type="http://schemas.openxmlformats.org/officeDocument/2006/relationships/hyperlink" Target="http://www.westlaw.com/Link/Document/FullText?findType=Y&amp;serNum=1982154526&amp;pubNum=661&amp;originatingDoc=Ic6fb89415adc11dbbd2dfa5ce1d08a25&amp;refType=RP&amp;fi=co_pp_sp_661_908&amp;originationContext=document&amp;vr=3.0&amp;rs=cblt1.0&amp;transitionType=DocumentItem&amp;contextData=(sc.Search)#co_pp_sp_661_908" TargetMode="External"/><Relationship Id="rId99" Type="http://schemas.openxmlformats.org/officeDocument/2006/relationships/hyperlink" Target="http://www.westlaw.com/Link/Document/FullText?findType=Y&amp;serNum=1982154526&amp;pubNum=661&amp;originatingDoc=Ic6fb89415adc11dbbd2dfa5ce1d08a25&amp;refType=RP&amp;fi=co_pp_sp_661_915&amp;originationContext=document&amp;vr=3.0&amp;rs=cblt1.0&amp;transitionType=DocumentItem&amp;contextData=(sc.Search)#co_pp_sp_661_915" TargetMode="External"/><Relationship Id="rId101" Type="http://schemas.openxmlformats.org/officeDocument/2006/relationships/hyperlink" Target="http://www.westlaw.com/Link/Document/FullText?findType=L&amp;pubNum=1000036&amp;cite=NMSTS40-3-1&amp;originatingDoc=Ic6fb89415adc11dbbd2dfa5ce1d08a25&amp;refType=LQ&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h&amp;pubNum=176284&amp;cite=0145698201&amp;originatingDoc=Ic6fb89415adc11dbbd2dfa5ce1d08a25&amp;refType=RQ&amp;originationContext=document&amp;vr=3.0&amp;rs=cblt1.0&amp;transitionType=DocumentItem&amp;contextData=(sc.Search)" TargetMode="External"/><Relationship Id="rId13" Type="http://schemas.openxmlformats.org/officeDocument/2006/relationships/hyperlink" Target="#co_g_ID0EJEAE_1" TargetMode="External"/><Relationship Id="rId18" Type="http://schemas.openxmlformats.org/officeDocument/2006/relationships/hyperlink" Target="#co_g_ID0EHKAE_1" TargetMode="External"/><Relationship Id="rId39" Type="http://schemas.openxmlformats.org/officeDocument/2006/relationships/hyperlink" Target="http://www.westlaw.com/Link/Document/FullText?findType=Y&amp;serNum=1800140351&amp;pubNum=780&amp;originatingDoc=Ic6fb89415adc11dbbd2dfa5ce1d08a25&amp;refType=RP&amp;fi=co_pp_sp_780_557&amp;originationContext=document&amp;vr=3.0&amp;rs=cblt1.0&amp;transitionType=DocumentItem&amp;contextData=(sc.Search)#co_pp_sp_780_557" TargetMode="External"/><Relationship Id="rId109" Type="http://schemas.openxmlformats.org/officeDocument/2006/relationships/hyperlink" Target="http://www.westlaw.com/Link/Document/FullText?findType=Y&amp;serNum=1981147780&amp;pubNum=661&amp;originatingDoc=Ic6fb89415adc11dbbd2dfa5ce1d08a25&amp;refType=RP&amp;originationContext=document&amp;vr=3.0&amp;rs=cblt1.0&amp;transitionType=DocumentItem&amp;contextData=(sc.Search)" TargetMode="External"/><Relationship Id="rId34" Type="http://schemas.openxmlformats.org/officeDocument/2006/relationships/hyperlink" Target="http://www.westlaw.com/Link/Document/FullText?findType=Y&amp;serNum=0100997696&amp;pubNum=1214&amp;originatingDoc=Ic6fb89415adc11dbbd2dfa5ce1d08a25&amp;refType=LR&amp;originationContext=document&amp;vr=3.0&amp;rs=cblt1.0&amp;transitionType=DocumentItem&amp;contextData=(sc.Search)" TargetMode="External"/><Relationship Id="rId50" Type="http://schemas.openxmlformats.org/officeDocument/2006/relationships/hyperlink" Target="http://www.westlaw.com/Link/Document/FullText?findType=L&amp;pubNum=1000546&amp;cite=25USCAS1322&amp;originatingDoc=Ic6fb89415adc11dbbd2dfa5ce1d08a25&amp;refType=RB&amp;originationContext=document&amp;vr=3.0&amp;rs=cblt1.0&amp;transitionType=DocumentItem&amp;contextData=(sc.Search)#co_pp_8b3b0000958a4" TargetMode="External"/><Relationship Id="rId55" Type="http://schemas.openxmlformats.org/officeDocument/2006/relationships/hyperlink" Target="http://www.westlaw.com/Link/Document/FullText?findType=L&amp;pubNum=1000256&amp;cite=IASTS1.12&amp;originatingDoc=Ic6fb89415adc11dbbd2dfa5ce1d08a25&amp;refType=LQ&amp;originationContext=document&amp;vr=3.0&amp;rs=cblt1.0&amp;transitionType=DocumentItem&amp;contextData=(sc.Search)" TargetMode="External"/><Relationship Id="rId76" Type="http://schemas.openxmlformats.org/officeDocument/2006/relationships/hyperlink" Target="http://www.westlaw.com/Link/Document/FullText?findType=L&amp;pubNum=1000546&amp;cite=28USCAS1360&amp;originatingDoc=Ic6fb89415adc11dbbd2dfa5ce1d08a25&amp;refType=LQ&amp;originationContext=document&amp;vr=3.0&amp;rs=cblt1.0&amp;transitionType=DocumentItem&amp;contextData=(sc.Search)" TargetMode="External"/><Relationship Id="rId97" Type="http://schemas.openxmlformats.org/officeDocument/2006/relationships/hyperlink" Target="http://www.westlaw.com/Link/Document/FullText?findType=Y&amp;serNum=1982154526&amp;pubNum=661&amp;originatingDoc=Ic6fb89415adc11dbbd2dfa5ce1d08a25&amp;refType=RP&amp;fi=co_pp_sp_661_907&amp;originationContext=document&amp;vr=3.0&amp;rs=cblt1.0&amp;transitionType=DocumentItem&amp;contextData=(sc.Search)#co_pp_sp_661_907" TargetMode="External"/><Relationship Id="rId104" Type="http://schemas.openxmlformats.org/officeDocument/2006/relationships/hyperlink" Target="http://www.westlaw.com/Link/Document/FullText?findType=Y&amp;serNum=1965001021&amp;pubNum=1620&amp;originatingDoc=Ic6fb89415adc11dbbd2dfa5ce1d08a25&amp;refType=RP&amp;originationContext=document&amp;vr=3.0&amp;rs=cblt1.0&amp;transitionType=DocumentItem&amp;contextData=(sc.Search)" TargetMode="External"/><Relationship Id="rId7" Type="http://schemas.openxmlformats.org/officeDocument/2006/relationships/footer" Target="footer1.xml"/><Relationship Id="rId71" Type="http://schemas.openxmlformats.org/officeDocument/2006/relationships/hyperlink" Target="http://www.westlaw.com/Link/Document/FullText?findType=L&amp;pubNum=1000259&amp;cite=WAST26.16.010&amp;originatingDoc=Ic6fb89415adc11dbbd2dfa5ce1d08a25&amp;refType=LQ&amp;originationContext=document&amp;vr=3.0&amp;rs=cblt1.0&amp;transitionType=DocumentItem&amp;contextData=(sc.Search)" TargetMode="External"/><Relationship Id="rId92" Type="http://schemas.openxmlformats.org/officeDocument/2006/relationships/hyperlink" Target="http://www.westlaw.com/Link/Document/FullText?findType=Y&amp;serNum=1982154526&amp;pubNum=661&amp;originatingDoc=Ic6fb89415adc11dbbd2dfa5ce1d08a25&amp;refType=RP&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co_g_ID0E4GAG_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11417</Words>
  <Characters>65080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2</cp:revision>
  <dcterms:created xsi:type="dcterms:W3CDTF">2017-06-09T17:33:00Z</dcterms:created>
  <dcterms:modified xsi:type="dcterms:W3CDTF">2017-06-09T17:33:00Z</dcterms:modified>
</cp:coreProperties>
</file>