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9"/>
        <w:gridCol w:w="3996"/>
        <w:gridCol w:w="6128"/>
        <w:gridCol w:w="4517"/>
      </w:tblGrid>
      <w:tr w:rsidR="002E2D13" w:rsidRPr="00D46C2C" w:rsidTr="002E2D13">
        <w:trPr>
          <w:tblHeader/>
        </w:trPr>
        <w:tc>
          <w:tcPr>
            <w:tcW w:w="0" w:type="auto"/>
            <w:shd w:val="clear" w:color="auto" w:fill="D0CECE" w:themeFill="background2" w:themeFillShade="E6"/>
          </w:tcPr>
          <w:p w:rsidR="002E2D13" w:rsidRPr="00D46C2C" w:rsidRDefault="002E2D13" w:rsidP="00D46C2C">
            <w:pPr>
              <w:jc w:val="center"/>
              <w:rPr>
                <w:rFonts w:cs="Arial"/>
                <w:b/>
              </w:rPr>
            </w:pPr>
            <w:r w:rsidRPr="00D46C2C">
              <w:rPr>
                <w:rFonts w:cs="Arial"/>
                <w:b/>
              </w:rPr>
              <w:t>Assets into BK Estate</w:t>
            </w:r>
          </w:p>
        </w:tc>
        <w:tc>
          <w:tcPr>
            <w:tcW w:w="3996" w:type="dxa"/>
            <w:shd w:val="clear" w:color="auto" w:fill="D0CECE" w:themeFill="background2" w:themeFillShade="E6"/>
          </w:tcPr>
          <w:p w:rsidR="002E2D13" w:rsidRPr="00D46C2C" w:rsidRDefault="002E2D13" w:rsidP="00D46C2C">
            <w:pPr>
              <w:jc w:val="center"/>
              <w:rPr>
                <w:rFonts w:cs="Arial"/>
                <w:b/>
              </w:rPr>
            </w:pPr>
            <w:r w:rsidRPr="00D46C2C">
              <w:rPr>
                <w:rFonts w:cs="Arial"/>
                <w:b/>
              </w:rPr>
              <w:t>Assets Out of BK Estate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2E2D13" w:rsidRPr="00D46C2C" w:rsidRDefault="002E2D13" w:rsidP="00D46C2C">
            <w:pPr>
              <w:jc w:val="center"/>
              <w:rPr>
                <w:rFonts w:cs="Arial"/>
                <w:b/>
              </w:rPr>
            </w:pPr>
            <w:r w:rsidRPr="00D46C2C">
              <w:rPr>
                <w:rFonts w:cs="Arial"/>
                <w:b/>
              </w:rPr>
              <w:t>Liens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2E2D13" w:rsidRPr="00D46C2C" w:rsidRDefault="002E2D13" w:rsidP="00D46C2C">
            <w:pPr>
              <w:jc w:val="center"/>
              <w:rPr>
                <w:rFonts w:cs="Arial"/>
                <w:b/>
              </w:rPr>
            </w:pPr>
            <w:r w:rsidRPr="00D46C2C">
              <w:rPr>
                <w:rFonts w:cs="Arial"/>
                <w:b/>
              </w:rPr>
              <w:t>Stay</w:t>
            </w:r>
          </w:p>
        </w:tc>
      </w:tr>
      <w:tr w:rsidR="002E2D13" w:rsidRPr="00D46C2C" w:rsidTr="002E2D13">
        <w:tc>
          <w:tcPr>
            <w:tcW w:w="0" w:type="auto"/>
            <w:vMerge w:val="restart"/>
          </w:tcPr>
          <w:p w:rsidR="002E2D13" w:rsidRPr="00D46C2C" w:rsidRDefault="002E2D13" w:rsidP="00F0740B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cs="Arial"/>
              </w:rPr>
            </w:pPr>
            <w:r w:rsidRPr="00D46C2C">
              <w:rPr>
                <w:rFonts w:cs="Arial"/>
              </w:rPr>
              <w:t xml:space="preserve">All assets at date of filing </w:t>
            </w:r>
            <w:hyperlink r:id="rId5" w:history="1">
              <w:r w:rsidRPr="00D46C2C">
                <w:rPr>
                  <w:rStyle w:val="Hyperlink"/>
                  <w:rFonts w:cs="Arial"/>
                </w:rPr>
                <w:t>11 USC 541</w:t>
              </w:r>
            </w:hyperlink>
          </w:p>
          <w:p w:rsidR="002E2D13" w:rsidRPr="00D46C2C" w:rsidRDefault="002E2D13" w:rsidP="00F0740B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cs="Arial"/>
              </w:rPr>
            </w:pPr>
            <w:r w:rsidRPr="00D46C2C">
              <w:rPr>
                <w:rFonts w:cs="Arial"/>
              </w:rPr>
              <w:t xml:space="preserve">Community Property of debtor’s Spouse </w:t>
            </w:r>
            <w:hyperlink r:id="rId6" w:history="1">
              <w:r w:rsidRPr="00D46C2C">
                <w:rPr>
                  <w:rStyle w:val="Hyperlink"/>
                  <w:rFonts w:cs="Arial"/>
                </w:rPr>
                <w:t>11 USC 541</w:t>
              </w:r>
            </w:hyperlink>
            <w:r w:rsidRPr="00D46C2C">
              <w:rPr>
                <w:rFonts w:cs="Arial"/>
              </w:rPr>
              <w:t xml:space="preserve"> (a)(2)</w:t>
            </w:r>
          </w:p>
          <w:p w:rsidR="002E2D13" w:rsidRPr="00D46C2C" w:rsidRDefault="002E2D13" w:rsidP="00F0740B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cs="Arial"/>
              </w:rPr>
            </w:pPr>
            <w:r w:rsidRPr="00D46C2C">
              <w:rPr>
                <w:rFonts w:cs="Arial"/>
              </w:rPr>
              <w:t xml:space="preserve">Tenancy with others, including entirety property – but may be exempt if immune from execution – so look for joint debts/liens on T by E property.  </w:t>
            </w:r>
            <w:hyperlink r:id="rId7" w:history="1">
              <w:r w:rsidRPr="00D46C2C">
                <w:rPr>
                  <w:rStyle w:val="Hyperlink"/>
                  <w:rFonts w:cs="Arial"/>
                </w:rPr>
                <w:t>11 USC 363</w:t>
              </w:r>
            </w:hyperlink>
            <w:r w:rsidRPr="00D46C2C">
              <w:rPr>
                <w:rFonts w:cs="Arial"/>
              </w:rPr>
              <w:t xml:space="preserve">(h) </w:t>
            </w:r>
          </w:p>
          <w:p w:rsidR="002E2D13" w:rsidRPr="00D46C2C" w:rsidRDefault="002E2D13" w:rsidP="00F0740B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cs="Arial"/>
              </w:rPr>
            </w:pPr>
            <w:r w:rsidRPr="00D46C2C">
              <w:rPr>
                <w:rFonts w:cs="Arial"/>
              </w:rPr>
              <w:t>After-acquired Property</w:t>
            </w:r>
          </w:p>
          <w:p w:rsidR="002E2D13" w:rsidRPr="00D46C2C" w:rsidRDefault="002E2D13" w:rsidP="00F0740B">
            <w:pPr>
              <w:pStyle w:val="ListParagraph"/>
              <w:numPr>
                <w:ilvl w:val="0"/>
                <w:numId w:val="1"/>
              </w:numPr>
              <w:ind w:left="517" w:hanging="157"/>
              <w:rPr>
                <w:rFonts w:cs="Arial"/>
              </w:rPr>
            </w:pPr>
            <w:proofErr w:type="gramStart"/>
            <w:r w:rsidRPr="00D46C2C">
              <w:rPr>
                <w:rFonts w:cs="Arial"/>
              </w:rPr>
              <w:t>within</w:t>
            </w:r>
            <w:proofErr w:type="gramEnd"/>
            <w:r w:rsidRPr="00D46C2C">
              <w:rPr>
                <w:rFonts w:cs="Arial"/>
              </w:rPr>
              <w:t xml:space="preserve"> 180 days after filing if from inheritance, divorce or life insurance. 11 USC 541   (7, 11, 13)</w:t>
            </w:r>
          </w:p>
          <w:p w:rsidR="002E2D13" w:rsidRPr="00D46C2C" w:rsidRDefault="002E2D13" w:rsidP="00F0740B">
            <w:pPr>
              <w:pStyle w:val="ListParagraph"/>
              <w:numPr>
                <w:ilvl w:val="0"/>
                <w:numId w:val="1"/>
              </w:numPr>
              <w:ind w:left="517" w:hanging="157"/>
              <w:rPr>
                <w:rFonts w:cs="Arial"/>
              </w:rPr>
            </w:pPr>
            <w:r w:rsidRPr="00D46C2C">
              <w:rPr>
                <w:rFonts w:cs="Arial"/>
              </w:rPr>
              <w:t>All Property, including proceeds of labor, during 1</w:t>
            </w:r>
            <w:r>
              <w:rPr>
                <w:rFonts w:cs="Arial"/>
              </w:rPr>
              <w:t>3</w:t>
            </w:r>
            <w:r w:rsidRPr="00D46C2C">
              <w:rPr>
                <w:rFonts w:cs="Arial"/>
              </w:rPr>
              <w:t xml:space="preserve"> – prior to conversion to 7, 11, or 12.  </w:t>
            </w:r>
            <w:hyperlink r:id="rId8" w:history="1">
              <w:r w:rsidRPr="00D46C2C">
                <w:rPr>
                  <w:rStyle w:val="Hyperlink"/>
                  <w:rFonts w:cs="Arial"/>
                  <w:color w:val="18BC9C"/>
                  <w:shd w:val="clear" w:color="auto" w:fill="FFFFFF"/>
                </w:rPr>
                <w:t>11 USC 1306</w:t>
              </w:r>
            </w:hyperlink>
            <w:r w:rsidRPr="00D46C2C">
              <w:rPr>
                <w:rFonts w:cs="Arial"/>
              </w:rPr>
              <w:t xml:space="preserve">. See Wiki – </w:t>
            </w:r>
            <w:hyperlink r:id="rId9" w:history="1">
              <w:r w:rsidRPr="00D46C2C">
                <w:rPr>
                  <w:rStyle w:val="Hyperlink"/>
                  <w:rFonts w:cs="Arial"/>
                </w:rPr>
                <w:t>After Acquired Property</w:t>
              </w:r>
            </w:hyperlink>
          </w:p>
          <w:p w:rsidR="002E2D13" w:rsidRPr="00D46C2C" w:rsidRDefault="002E2D13" w:rsidP="00F0740B">
            <w:pPr>
              <w:pStyle w:val="ListParagraph"/>
              <w:numPr>
                <w:ilvl w:val="0"/>
                <w:numId w:val="1"/>
              </w:numPr>
              <w:ind w:left="517" w:hanging="157"/>
              <w:rPr>
                <w:rFonts w:cs="Arial"/>
              </w:rPr>
            </w:pPr>
            <w:r w:rsidRPr="00D46C2C">
              <w:rPr>
                <w:rFonts w:cs="Arial"/>
              </w:rPr>
              <w:t>Income &amp; property during course of 11</w:t>
            </w:r>
          </w:p>
          <w:p w:rsidR="002E2D13" w:rsidRPr="00D46C2C" w:rsidRDefault="002E2D13" w:rsidP="00F0740B">
            <w:pPr>
              <w:pStyle w:val="ListParagraph"/>
              <w:numPr>
                <w:ilvl w:val="0"/>
                <w:numId w:val="1"/>
              </w:numPr>
              <w:ind w:left="517" w:hanging="157"/>
              <w:rPr>
                <w:rFonts w:cs="Arial"/>
              </w:rPr>
            </w:pPr>
            <w:r w:rsidRPr="00D46C2C">
              <w:rPr>
                <w:rFonts w:cs="Arial"/>
              </w:rPr>
              <w:t>Doesn’t apply to 7, but have to ask where the property came from?  If purchased w/estate assets….</w:t>
            </w:r>
          </w:p>
          <w:p w:rsidR="002E2D13" w:rsidRPr="00D46C2C" w:rsidRDefault="002E2D13" w:rsidP="00F0740B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cs="Arial"/>
              </w:rPr>
            </w:pPr>
            <w:r w:rsidRPr="00D46C2C">
              <w:rPr>
                <w:rFonts w:cs="Arial"/>
              </w:rPr>
              <w:t>Property recovered by Trustee (7, 11, 13)</w:t>
            </w:r>
          </w:p>
          <w:p w:rsidR="002E2D13" w:rsidRPr="00D46C2C" w:rsidRDefault="002E2D13" w:rsidP="00F0740B">
            <w:pPr>
              <w:pStyle w:val="ListParagraph"/>
              <w:numPr>
                <w:ilvl w:val="0"/>
                <w:numId w:val="1"/>
              </w:numPr>
              <w:ind w:left="517" w:hanging="157"/>
              <w:rPr>
                <w:rFonts w:cs="Arial"/>
              </w:rPr>
            </w:pPr>
            <w:r w:rsidRPr="00D46C2C">
              <w:rPr>
                <w:rFonts w:cs="Arial"/>
              </w:rPr>
              <w:t xml:space="preserve">Preferential Transfers </w:t>
            </w:r>
            <w:hyperlink r:id="rId10" w:history="1">
              <w:r w:rsidRPr="00D46C2C">
                <w:rPr>
                  <w:rStyle w:val="Hyperlink"/>
                  <w:rFonts w:cs="Arial"/>
                  <w:shd w:val="clear" w:color="auto" w:fill="FFFFFF"/>
                </w:rPr>
                <w:t>11 USC 547</w:t>
              </w:r>
            </w:hyperlink>
          </w:p>
          <w:p w:rsidR="002E2D13" w:rsidRPr="00D46C2C" w:rsidRDefault="002E2D13" w:rsidP="00F0740B">
            <w:pPr>
              <w:pStyle w:val="ListParagraph"/>
              <w:numPr>
                <w:ilvl w:val="0"/>
                <w:numId w:val="1"/>
              </w:numPr>
              <w:ind w:left="517" w:hanging="157"/>
              <w:rPr>
                <w:rFonts w:cs="Arial"/>
              </w:rPr>
            </w:pPr>
            <w:r w:rsidRPr="00D46C2C">
              <w:rPr>
                <w:rFonts w:cs="Arial"/>
              </w:rPr>
              <w:t xml:space="preserve">Fraudulent Transfers </w:t>
            </w:r>
            <w:hyperlink r:id="rId11" w:history="1">
              <w:r w:rsidRPr="00D46C2C">
                <w:rPr>
                  <w:rStyle w:val="Hyperlink"/>
                  <w:rFonts w:cs="Arial"/>
                </w:rPr>
                <w:t>11 USC 548</w:t>
              </w:r>
            </w:hyperlink>
          </w:p>
          <w:p w:rsidR="002E2D13" w:rsidRPr="00D46C2C" w:rsidRDefault="002E2D13">
            <w:pPr>
              <w:rPr>
                <w:rFonts w:cs="Arial"/>
              </w:rPr>
            </w:pPr>
          </w:p>
        </w:tc>
        <w:tc>
          <w:tcPr>
            <w:tcW w:w="3996" w:type="dxa"/>
          </w:tcPr>
          <w:p w:rsidR="002E2D13" w:rsidRPr="00D46C2C" w:rsidRDefault="002E2D13">
            <w:pPr>
              <w:rPr>
                <w:rFonts w:cs="Arial"/>
              </w:rPr>
            </w:pPr>
            <w:r w:rsidRPr="00D46C2C">
              <w:rPr>
                <w:rFonts w:cs="Arial"/>
                <w:b/>
              </w:rPr>
              <w:t>Claimed as Exempt</w:t>
            </w:r>
            <w:r w:rsidRPr="00D46C2C">
              <w:rPr>
                <w:rFonts w:cs="Arial"/>
              </w:rPr>
              <w:t xml:space="preserve"> under State or Federal Law. </w:t>
            </w:r>
            <w:hyperlink r:id="rId12" w:history="1">
              <w:r w:rsidRPr="00D46C2C">
                <w:rPr>
                  <w:rStyle w:val="Hyperlink"/>
                  <w:rFonts w:cs="Arial"/>
                  <w:shd w:val="clear" w:color="auto" w:fill="FFFFFF"/>
                </w:rPr>
                <w:t>11 USC 522</w:t>
              </w:r>
            </w:hyperlink>
            <w:r w:rsidRPr="00D46C2C">
              <w:rPr>
                <w:rFonts w:cs="Arial"/>
                <w:color w:val="2C3E50"/>
                <w:shd w:val="clear" w:color="auto" w:fill="FFFFFF"/>
              </w:rPr>
              <w:t>(b</w:t>
            </w:r>
            <w:proofErr w:type="gramStart"/>
            <w:r w:rsidRPr="00D46C2C">
              <w:rPr>
                <w:rFonts w:cs="Arial"/>
                <w:color w:val="2C3E50"/>
                <w:shd w:val="clear" w:color="auto" w:fill="FFFFFF"/>
              </w:rPr>
              <w:t>)(</w:t>
            </w:r>
            <w:proofErr w:type="gramEnd"/>
            <w:r w:rsidRPr="00D46C2C">
              <w:rPr>
                <w:rFonts w:cs="Arial"/>
                <w:color w:val="2C3E50"/>
                <w:shd w:val="clear" w:color="auto" w:fill="FFFFFF"/>
              </w:rPr>
              <w:t xml:space="preserve">1) &amp; (2).   Final 30 days after Creditor meeting or addition to schedule. </w:t>
            </w:r>
            <w:hyperlink r:id="rId13" w:history="1">
              <w:r w:rsidRPr="00D46C2C">
                <w:rPr>
                  <w:rStyle w:val="Hyperlink"/>
                  <w:rFonts w:cs="Arial"/>
                  <w:color w:val="18BC9C"/>
                  <w:shd w:val="clear" w:color="auto" w:fill="FFFFFF"/>
                </w:rPr>
                <w:t>Bankruptcy Rule 4003</w:t>
              </w:r>
            </w:hyperlink>
            <w:r w:rsidRPr="00D46C2C">
              <w:rPr>
                <w:rFonts w:cs="Arial"/>
              </w:rPr>
              <w:t xml:space="preserve"> – unless objection filed.   Then final upon court ruling</w:t>
            </w:r>
          </w:p>
        </w:tc>
        <w:tc>
          <w:tcPr>
            <w:tcW w:w="0" w:type="auto"/>
          </w:tcPr>
          <w:p w:rsidR="002E2D13" w:rsidRPr="00D46C2C" w:rsidRDefault="002E2D13">
            <w:pPr>
              <w:rPr>
                <w:rFonts w:cs="Arial"/>
              </w:rPr>
            </w:pPr>
            <w:r w:rsidRPr="00D46C2C">
              <w:rPr>
                <w:rFonts w:cs="Arial"/>
              </w:rPr>
              <w:t xml:space="preserve">Liens remain attached to exempt assets unless removed as a lien impairing an exemption </w:t>
            </w:r>
            <w:hyperlink r:id="rId14" w:history="1">
              <w:r w:rsidRPr="00D46C2C">
                <w:rPr>
                  <w:rStyle w:val="Hyperlink"/>
                  <w:rFonts w:cs="Arial"/>
                </w:rPr>
                <w:t>11 USC 522</w:t>
              </w:r>
            </w:hyperlink>
            <w:r w:rsidRPr="00D46C2C">
              <w:rPr>
                <w:rFonts w:cs="Arial"/>
              </w:rPr>
              <w:t xml:space="preserve">(f) </w:t>
            </w:r>
          </w:p>
        </w:tc>
        <w:tc>
          <w:tcPr>
            <w:tcW w:w="0" w:type="auto"/>
          </w:tcPr>
          <w:p w:rsidR="002E2D13" w:rsidRPr="00D46C2C" w:rsidRDefault="002E2D13">
            <w:pPr>
              <w:rPr>
                <w:rFonts w:cs="Arial"/>
              </w:rPr>
            </w:pPr>
          </w:p>
        </w:tc>
      </w:tr>
      <w:tr w:rsidR="002E2D13" w:rsidRPr="00D46C2C" w:rsidTr="002E2D13">
        <w:tc>
          <w:tcPr>
            <w:tcW w:w="0" w:type="auto"/>
            <w:vMerge/>
          </w:tcPr>
          <w:p w:rsidR="002E2D13" w:rsidRPr="00D46C2C" w:rsidRDefault="002E2D13">
            <w:pPr>
              <w:rPr>
                <w:rFonts w:cs="Arial"/>
              </w:rPr>
            </w:pPr>
          </w:p>
        </w:tc>
        <w:tc>
          <w:tcPr>
            <w:tcW w:w="3996" w:type="dxa"/>
          </w:tcPr>
          <w:p w:rsidR="002E2D13" w:rsidRPr="00D46C2C" w:rsidRDefault="002E2D13" w:rsidP="00494AC3">
            <w:pPr>
              <w:rPr>
                <w:rFonts w:cs="Arial"/>
              </w:rPr>
            </w:pPr>
            <w:r w:rsidRPr="00D46C2C">
              <w:rPr>
                <w:rFonts w:cs="Arial"/>
                <w:b/>
              </w:rPr>
              <w:t>Abandoned or Surrendered</w:t>
            </w:r>
            <w:r w:rsidRPr="00D46C2C">
              <w:rPr>
                <w:rFonts w:cs="Arial"/>
              </w:rPr>
              <w:t xml:space="preserve">  (7, 11, 13 – </w:t>
            </w:r>
            <w:hyperlink r:id="rId15" w:history="1">
              <w:r w:rsidRPr="00D46C2C">
                <w:rPr>
                  <w:rStyle w:val="Hyperlink"/>
                  <w:rFonts w:cs="Arial"/>
                </w:rPr>
                <w:t>11 USC 554</w:t>
              </w:r>
            </w:hyperlink>
            <w:r w:rsidRPr="00D46C2C">
              <w:rPr>
                <w:rFonts w:cs="Arial"/>
              </w:rPr>
              <w:t xml:space="preserve">); (7 – </w:t>
            </w:r>
            <w:hyperlink r:id="rId16" w:history="1">
              <w:r w:rsidRPr="00D46C2C">
                <w:rPr>
                  <w:rStyle w:val="Hyperlink"/>
                  <w:rFonts w:cs="Arial"/>
                </w:rPr>
                <w:t>11 USC 725</w:t>
              </w:r>
            </w:hyperlink>
            <w:r w:rsidRPr="00D46C2C">
              <w:rPr>
                <w:rFonts w:cs="Arial"/>
              </w:rPr>
              <w:t xml:space="preserve">) (13 – “surrendered” terminology </w:t>
            </w:r>
            <w:hyperlink r:id="rId17" w:history="1">
              <w:r w:rsidRPr="00D46C2C">
                <w:rPr>
                  <w:rStyle w:val="Hyperlink"/>
                  <w:rFonts w:cs="Arial"/>
                </w:rPr>
                <w:t>11 USC 1325</w:t>
              </w:r>
            </w:hyperlink>
            <w:r w:rsidRPr="00D46C2C">
              <w:rPr>
                <w:rFonts w:cs="Arial"/>
              </w:rPr>
              <w:t>) if “burdensome to the estate or that is of inconsequential value and benefit to the estate” after notice &amp; hearing</w:t>
            </w:r>
          </w:p>
        </w:tc>
        <w:tc>
          <w:tcPr>
            <w:tcW w:w="0" w:type="auto"/>
          </w:tcPr>
          <w:p w:rsidR="002E2D13" w:rsidRPr="00D46C2C" w:rsidRDefault="002E2D13">
            <w:pPr>
              <w:rPr>
                <w:rFonts w:cs="Arial"/>
              </w:rPr>
            </w:pPr>
            <w:r w:rsidRPr="00D46C2C">
              <w:rPr>
                <w:rFonts w:cs="Arial"/>
              </w:rPr>
              <w:t>Liens remain attached to asset, unless specific order/ruling</w:t>
            </w:r>
          </w:p>
        </w:tc>
        <w:tc>
          <w:tcPr>
            <w:tcW w:w="0" w:type="auto"/>
          </w:tcPr>
          <w:p w:rsidR="002E2D13" w:rsidRPr="00D46C2C" w:rsidRDefault="002E2D13">
            <w:pPr>
              <w:rPr>
                <w:rFonts w:cs="Arial"/>
              </w:rPr>
            </w:pPr>
            <w:r>
              <w:rPr>
                <w:rFonts w:cs="Arial"/>
              </w:rPr>
              <w:t xml:space="preserve">Stay continues to apply to enforcement of pre-BK liens, even though it is no longer “property of the estate” it is property of the debtor.   </w:t>
            </w:r>
            <w:hyperlink r:id="rId18" w:history="1">
              <w:r w:rsidRPr="005959E9">
                <w:rPr>
                  <w:rStyle w:val="Hyperlink"/>
                  <w:rFonts w:cs="Arial"/>
                </w:rPr>
                <w:t>11 USC 362</w:t>
              </w:r>
            </w:hyperlink>
            <w:r>
              <w:rPr>
                <w:rFonts w:cs="Arial"/>
              </w:rPr>
              <w:t>(a</w:t>
            </w:r>
            <w:proofErr w:type="gramStart"/>
            <w:r>
              <w:rPr>
                <w:rFonts w:cs="Arial"/>
              </w:rPr>
              <w:t>)(</w:t>
            </w:r>
            <w:proofErr w:type="gramEnd"/>
            <w:r>
              <w:rPr>
                <w:rFonts w:cs="Arial"/>
              </w:rPr>
              <w:t xml:space="preserve">5).  </w:t>
            </w:r>
            <w:hyperlink r:id="rId19" w:history="1">
              <w:r w:rsidRPr="005959E9">
                <w:rPr>
                  <w:rStyle w:val="Hyperlink"/>
                  <w:rFonts w:cs="Arial"/>
                </w:rPr>
                <w:t>11 USC 362</w:t>
              </w:r>
            </w:hyperlink>
            <w:r>
              <w:rPr>
                <w:rFonts w:cs="Arial"/>
              </w:rPr>
              <w:t>(c</w:t>
            </w:r>
            <w:proofErr w:type="gramStart"/>
            <w:r>
              <w:rPr>
                <w:rFonts w:cs="Arial"/>
              </w:rPr>
              <w:t>)(</w:t>
            </w:r>
            <w:proofErr w:type="gramEnd"/>
            <w:r>
              <w:rPr>
                <w:rFonts w:cs="Arial"/>
              </w:rPr>
              <w:t xml:space="preserve">1) can be read to the contrary, but note (c)(2). </w:t>
            </w:r>
          </w:p>
        </w:tc>
      </w:tr>
      <w:tr w:rsidR="002E2D13" w:rsidRPr="00D46C2C" w:rsidTr="002E2D13">
        <w:trPr>
          <w:trHeight w:val="1970"/>
        </w:trPr>
        <w:tc>
          <w:tcPr>
            <w:tcW w:w="0" w:type="auto"/>
            <w:vMerge/>
          </w:tcPr>
          <w:p w:rsidR="002E2D13" w:rsidRPr="00D46C2C" w:rsidRDefault="002E2D13">
            <w:pPr>
              <w:rPr>
                <w:rFonts w:cs="Arial"/>
              </w:rPr>
            </w:pPr>
          </w:p>
        </w:tc>
        <w:tc>
          <w:tcPr>
            <w:tcW w:w="3996" w:type="dxa"/>
          </w:tcPr>
          <w:p w:rsidR="002E2D13" w:rsidRPr="00D46C2C" w:rsidRDefault="002E2D13" w:rsidP="00494AC3">
            <w:pPr>
              <w:rPr>
                <w:rFonts w:cs="Arial"/>
              </w:rPr>
            </w:pPr>
            <w:r w:rsidRPr="00D46C2C">
              <w:rPr>
                <w:rFonts w:cs="Arial"/>
                <w:b/>
              </w:rPr>
              <w:t>Constructive Abandonment</w:t>
            </w:r>
            <w:r w:rsidRPr="00D46C2C">
              <w:rPr>
                <w:rFonts w:cs="Arial"/>
              </w:rPr>
              <w:t xml:space="preserve"> at end of Bankruptcy.  (7, 11, 13)  “Unless the court orders otherwise, </w:t>
            </w:r>
            <w:r w:rsidRPr="00CD5785">
              <w:rPr>
                <w:rFonts w:cs="Arial"/>
                <w:u w:val="single"/>
              </w:rPr>
              <w:t>any property scheduled</w:t>
            </w:r>
            <w:r w:rsidRPr="00D46C2C">
              <w:rPr>
                <w:rFonts w:cs="Arial"/>
              </w:rPr>
              <w:t xml:space="preserve"> … not otherwise administered at the time of the closing of a case is abandoned to the debtor and administered….”   </w:t>
            </w:r>
            <w:hyperlink r:id="rId20" w:history="1">
              <w:r w:rsidRPr="00D46C2C">
                <w:rPr>
                  <w:rStyle w:val="Hyperlink"/>
                  <w:rFonts w:cs="Arial"/>
                </w:rPr>
                <w:t>11 USC 554(c)</w:t>
              </w:r>
            </w:hyperlink>
          </w:p>
          <w:p w:rsidR="002E2D13" w:rsidRPr="00D46C2C" w:rsidRDefault="002E2D13" w:rsidP="00494AC3">
            <w:pPr>
              <w:rPr>
                <w:rFonts w:cs="Arial"/>
              </w:rPr>
            </w:pPr>
          </w:p>
          <w:p w:rsidR="002E2D13" w:rsidRPr="00D46C2C" w:rsidRDefault="002E2D13" w:rsidP="003D3C29">
            <w:pPr>
              <w:rPr>
                <w:rFonts w:cs="Arial"/>
              </w:rPr>
            </w:pPr>
            <w:r w:rsidRPr="00D46C2C">
              <w:rPr>
                <w:rFonts w:cs="Arial"/>
              </w:rPr>
              <w:t>In 11, Unless sold during bankruptcy, confirmation of plan vests property back in the debtor.  11 USC 1141(b)</w:t>
            </w:r>
          </w:p>
          <w:p w:rsidR="002E2D13" w:rsidRPr="00D46C2C" w:rsidRDefault="002E2D13" w:rsidP="003D3C29">
            <w:pPr>
              <w:rPr>
                <w:rFonts w:cs="Arial"/>
              </w:rPr>
            </w:pPr>
          </w:p>
          <w:p w:rsidR="002E2D13" w:rsidRPr="00D46C2C" w:rsidRDefault="002E2D13" w:rsidP="005959E9">
            <w:pPr>
              <w:rPr>
                <w:rFonts w:cs="Arial"/>
              </w:rPr>
            </w:pPr>
            <w:r w:rsidRPr="00D46C2C">
              <w:rPr>
                <w:rFonts w:cs="Arial"/>
              </w:rPr>
              <w:t xml:space="preserve">In 13, </w:t>
            </w:r>
            <w:r>
              <w:rPr>
                <w:rFonts w:cs="Arial"/>
              </w:rPr>
              <w:t>u</w:t>
            </w:r>
            <w:r w:rsidRPr="00D46C2C">
              <w:rPr>
                <w:rFonts w:cs="Arial"/>
              </w:rPr>
              <w:t>nless otherwise provided, or disposed of during course of BK, confirmation of plan vests property back in Debtor.   11 USC 1327(b)</w:t>
            </w:r>
          </w:p>
        </w:tc>
        <w:tc>
          <w:tcPr>
            <w:tcW w:w="0" w:type="auto"/>
          </w:tcPr>
          <w:p w:rsidR="002E2D13" w:rsidRPr="00D46C2C" w:rsidRDefault="002E2D13">
            <w:pPr>
              <w:rPr>
                <w:rFonts w:cs="Arial"/>
              </w:rPr>
            </w:pPr>
            <w:r w:rsidRPr="00D46C2C">
              <w:rPr>
                <w:rFonts w:cs="Arial"/>
              </w:rPr>
              <w:t>Liens pass through unaffected, unless specific order/ruling</w:t>
            </w:r>
          </w:p>
        </w:tc>
        <w:tc>
          <w:tcPr>
            <w:tcW w:w="0" w:type="auto"/>
          </w:tcPr>
          <w:p w:rsidR="002E2D13" w:rsidRPr="00D46C2C" w:rsidRDefault="002E2D13">
            <w:pPr>
              <w:rPr>
                <w:rFonts w:cs="Arial"/>
              </w:rPr>
            </w:pPr>
            <w:r w:rsidRPr="00D46C2C">
              <w:rPr>
                <w:rFonts w:cs="Arial"/>
              </w:rPr>
              <w:t>Stay no longer applies after BK ended</w:t>
            </w:r>
            <w:r>
              <w:rPr>
                <w:rFonts w:cs="Arial"/>
              </w:rPr>
              <w:t xml:space="preserve">.  </w:t>
            </w:r>
            <w:hyperlink r:id="rId21" w:history="1">
              <w:r w:rsidRPr="005959E9">
                <w:rPr>
                  <w:rStyle w:val="Hyperlink"/>
                  <w:rFonts w:cs="Arial"/>
                </w:rPr>
                <w:t>11 USC 362</w:t>
              </w:r>
            </w:hyperlink>
            <w:r>
              <w:rPr>
                <w:rFonts w:cs="Arial"/>
              </w:rPr>
              <w:t>(c)</w:t>
            </w:r>
          </w:p>
        </w:tc>
      </w:tr>
      <w:tr w:rsidR="002E2D13" w:rsidRPr="00D46C2C" w:rsidTr="002E2D13">
        <w:tc>
          <w:tcPr>
            <w:tcW w:w="0" w:type="auto"/>
            <w:vMerge/>
          </w:tcPr>
          <w:p w:rsidR="002E2D13" w:rsidRPr="00D46C2C" w:rsidRDefault="002E2D13">
            <w:pPr>
              <w:rPr>
                <w:rFonts w:cs="Arial"/>
              </w:rPr>
            </w:pPr>
          </w:p>
        </w:tc>
        <w:tc>
          <w:tcPr>
            <w:tcW w:w="3996" w:type="dxa"/>
          </w:tcPr>
          <w:p w:rsidR="002E2D13" w:rsidRPr="00D46C2C" w:rsidRDefault="002E2D13" w:rsidP="00494AC3">
            <w:pPr>
              <w:rPr>
                <w:rFonts w:cs="Arial"/>
              </w:rPr>
            </w:pPr>
            <w:r w:rsidRPr="00D46C2C">
              <w:rPr>
                <w:rFonts w:cs="Arial"/>
                <w:b/>
              </w:rPr>
              <w:t>Sale/Lease in Ordinary Course of Business.</w:t>
            </w:r>
            <w:r w:rsidRPr="00D46C2C">
              <w:rPr>
                <w:rFonts w:cs="Arial"/>
              </w:rPr>
              <w:t xml:space="preserve">  </w:t>
            </w:r>
            <w:hyperlink r:id="rId22" w:history="1">
              <w:r w:rsidRPr="00D46C2C">
                <w:rPr>
                  <w:rStyle w:val="Hyperlink"/>
                  <w:rFonts w:cs="Arial"/>
                </w:rPr>
                <w:t>11 USC 363</w:t>
              </w:r>
            </w:hyperlink>
            <w:r w:rsidRPr="00D46C2C">
              <w:rPr>
                <w:rFonts w:cs="Arial"/>
              </w:rPr>
              <w:t>(c)</w:t>
            </w:r>
          </w:p>
          <w:p w:rsidR="002E2D13" w:rsidRPr="00D46C2C" w:rsidRDefault="002E2D13" w:rsidP="003D3C29">
            <w:pPr>
              <w:pStyle w:val="ListParagraph"/>
              <w:numPr>
                <w:ilvl w:val="2"/>
                <w:numId w:val="1"/>
              </w:numPr>
              <w:ind w:left="285" w:hanging="270"/>
              <w:rPr>
                <w:rFonts w:cs="Arial"/>
              </w:rPr>
            </w:pPr>
            <w:r w:rsidRPr="00D46C2C">
              <w:rPr>
                <w:rFonts w:cs="Arial"/>
              </w:rPr>
              <w:t>No notice or hearing required</w:t>
            </w:r>
          </w:p>
          <w:p w:rsidR="002E2D13" w:rsidRPr="00D46C2C" w:rsidRDefault="002E2D13" w:rsidP="003D3C29">
            <w:pPr>
              <w:pStyle w:val="ListParagraph"/>
              <w:numPr>
                <w:ilvl w:val="2"/>
                <w:numId w:val="1"/>
              </w:numPr>
              <w:ind w:left="285" w:hanging="270"/>
              <w:rPr>
                <w:rFonts w:cs="Arial"/>
              </w:rPr>
            </w:pPr>
            <w:r w:rsidRPr="00D46C2C">
              <w:rPr>
                <w:rFonts w:cs="Arial"/>
              </w:rPr>
              <w:t xml:space="preserve">Business must be permitted to operate.  (Court approval required under 11 USC 721 for 7). </w:t>
            </w:r>
          </w:p>
          <w:p w:rsidR="002E2D13" w:rsidRPr="00D46C2C" w:rsidRDefault="002E2D13" w:rsidP="003D3C29">
            <w:pPr>
              <w:pStyle w:val="ListParagraph"/>
              <w:numPr>
                <w:ilvl w:val="2"/>
                <w:numId w:val="1"/>
              </w:numPr>
              <w:ind w:left="285" w:hanging="270"/>
              <w:rPr>
                <w:rFonts w:cs="Arial"/>
              </w:rPr>
            </w:pPr>
            <w:r w:rsidRPr="00D46C2C">
              <w:rPr>
                <w:rFonts w:cs="Arial"/>
              </w:rPr>
              <w:t>Trustee may sell or lease property, in the ordinary course of business</w:t>
            </w:r>
          </w:p>
          <w:p w:rsidR="002E2D13" w:rsidRPr="00D46C2C" w:rsidRDefault="002E2D13" w:rsidP="003D3C29">
            <w:pPr>
              <w:pStyle w:val="ListParagraph"/>
              <w:numPr>
                <w:ilvl w:val="2"/>
                <w:numId w:val="1"/>
              </w:numPr>
              <w:ind w:left="285" w:hanging="270"/>
              <w:rPr>
                <w:rFonts w:cs="Arial"/>
              </w:rPr>
            </w:pPr>
            <w:r w:rsidRPr="00D46C2C">
              <w:rPr>
                <w:rFonts w:cs="Arial"/>
              </w:rPr>
              <w:t xml:space="preserve">RARELY APPLIES TO real property. Unless debtor is R.E. developer.  </w:t>
            </w:r>
            <w:r w:rsidRPr="00D46C2C">
              <w:rPr>
                <w:rFonts w:cs="Arial"/>
              </w:rPr>
              <w:lastRenderedPageBreak/>
              <w:t xml:space="preserve">Request UW review.  Generally require comfort order identifying land. </w:t>
            </w:r>
          </w:p>
          <w:p w:rsidR="002E2D13" w:rsidRPr="00D46C2C" w:rsidRDefault="002E2D13" w:rsidP="00BC6639">
            <w:pPr>
              <w:pStyle w:val="ListParagraph"/>
              <w:numPr>
                <w:ilvl w:val="2"/>
                <w:numId w:val="1"/>
              </w:numPr>
              <w:ind w:left="285" w:hanging="270"/>
              <w:rPr>
                <w:rFonts w:cs="Arial"/>
              </w:rPr>
            </w:pPr>
            <w:r w:rsidRPr="00D46C2C">
              <w:rPr>
                <w:rFonts w:cs="Arial"/>
              </w:rPr>
              <w:t xml:space="preserve">21 day notice of sale unless changed by court.   </w:t>
            </w:r>
            <w:hyperlink r:id="rId23" w:history="1">
              <w:r w:rsidRPr="00D46C2C">
                <w:rPr>
                  <w:rStyle w:val="Hyperlink"/>
                  <w:rFonts w:cs="Arial"/>
                </w:rPr>
                <w:t>BK Rule 2002</w:t>
              </w:r>
            </w:hyperlink>
            <w:r w:rsidRPr="00D46C2C">
              <w:rPr>
                <w:rFonts w:cs="Arial"/>
              </w:rPr>
              <w:t xml:space="preserve">(a) 14 day stay applies </w:t>
            </w:r>
            <w:hyperlink r:id="rId24" w:history="1">
              <w:r w:rsidRPr="00D46C2C">
                <w:rPr>
                  <w:rStyle w:val="Hyperlink"/>
                  <w:rFonts w:cs="Arial"/>
                </w:rPr>
                <w:t>BK Rule 6004</w:t>
              </w:r>
            </w:hyperlink>
            <w:r w:rsidRPr="00D46C2C">
              <w:rPr>
                <w:rFonts w:cs="Arial"/>
              </w:rPr>
              <w:t>(h) applies from date of comfort order, not from sale in ordinary course.</w:t>
            </w:r>
          </w:p>
        </w:tc>
        <w:tc>
          <w:tcPr>
            <w:tcW w:w="0" w:type="auto"/>
          </w:tcPr>
          <w:p w:rsidR="002E2D13" w:rsidRPr="00D46C2C" w:rsidRDefault="002E2D13" w:rsidP="001E50B0">
            <w:pPr>
              <w:rPr>
                <w:rFonts w:cs="Arial"/>
              </w:rPr>
            </w:pPr>
            <w:r w:rsidRPr="00D46C2C">
              <w:rPr>
                <w:rFonts w:cs="Arial"/>
              </w:rPr>
              <w:lastRenderedPageBreak/>
              <w:t>Liens against asset continued unless stripped in order.</w:t>
            </w:r>
          </w:p>
          <w:p w:rsidR="002E2D13" w:rsidRPr="00D46C2C" w:rsidRDefault="002E2D13" w:rsidP="001E50B0">
            <w:pPr>
              <w:rPr>
                <w:rFonts w:cs="Arial"/>
              </w:rPr>
            </w:pPr>
          </w:p>
          <w:p w:rsidR="002E2D13" w:rsidRPr="00D46C2C" w:rsidRDefault="002E2D13" w:rsidP="003A35DE">
            <w:pPr>
              <w:rPr>
                <w:rFonts w:cs="Arial"/>
              </w:rPr>
            </w:pPr>
            <w:r w:rsidRPr="00D46C2C">
              <w:rPr>
                <w:rFonts w:cs="Arial"/>
              </w:rPr>
              <w:t xml:space="preserve">BK may not strip underwater liens in a chapter 7.   </w:t>
            </w:r>
            <w:r w:rsidRPr="00D46C2C">
              <w:rPr>
                <w:rFonts w:cs="Arial"/>
                <w:color w:val="2C3E50"/>
                <w:u w:val="single"/>
                <w:shd w:val="clear" w:color="auto" w:fill="FFFFFF"/>
              </w:rPr>
              <w:t xml:space="preserve">Bank of America v. </w:t>
            </w:r>
            <w:proofErr w:type="spellStart"/>
            <w:r w:rsidRPr="00D46C2C">
              <w:rPr>
                <w:rFonts w:cs="Arial"/>
                <w:color w:val="2C3E50"/>
                <w:u w:val="single"/>
                <w:shd w:val="clear" w:color="auto" w:fill="FFFFFF"/>
              </w:rPr>
              <w:t>Caulkett</w:t>
            </w:r>
            <w:proofErr w:type="spellEnd"/>
            <w:r w:rsidRPr="00D46C2C">
              <w:rPr>
                <w:rFonts w:cs="Arial"/>
                <w:color w:val="2C3E50"/>
                <w:shd w:val="clear" w:color="auto" w:fill="FFFFFF"/>
              </w:rPr>
              <w:t xml:space="preserve"> 135 </w:t>
            </w:r>
            <w:proofErr w:type="spellStart"/>
            <w:r w:rsidRPr="00D46C2C">
              <w:rPr>
                <w:rFonts w:cs="Arial"/>
                <w:color w:val="2C3E50"/>
                <w:shd w:val="clear" w:color="auto" w:fill="FFFFFF"/>
              </w:rPr>
              <w:t>S.Ct</w:t>
            </w:r>
            <w:proofErr w:type="spellEnd"/>
            <w:r w:rsidRPr="00D46C2C">
              <w:rPr>
                <w:rFonts w:cs="Arial"/>
                <w:color w:val="2C3E50"/>
                <w:shd w:val="clear" w:color="auto" w:fill="FFFFFF"/>
              </w:rPr>
              <w:t xml:space="preserve">. 1995 (SC 2015).  See Wiki – </w:t>
            </w:r>
            <w:hyperlink r:id="rId25" w:history="1">
              <w:r w:rsidRPr="00D46C2C">
                <w:rPr>
                  <w:rStyle w:val="Hyperlink"/>
                  <w:rFonts w:cs="Arial"/>
                  <w:shd w:val="clear" w:color="auto" w:fill="FFFFFF"/>
                </w:rPr>
                <w:t>Stripping of Liens in Bankruptcy</w:t>
              </w:r>
            </w:hyperlink>
            <w:r w:rsidRPr="00D46C2C">
              <w:rPr>
                <w:rFonts w:cs="Arial"/>
                <w:color w:val="2C3E50"/>
                <w:shd w:val="clear" w:color="auto" w:fill="FFFFFF"/>
              </w:rPr>
              <w:t xml:space="preserve"> for more detail. </w:t>
            </w:r>
          </w:p>
        </w:tc>
        <w:tc>
          <w:tcPr>
            <w:tcW w:w="0" w:type="auto"/>
          </w:tcPr>
          <w:p w:rsidR="002E2D13" w:rsidRPr="00D46C2C" w:rsidRDefault="002E2D13" w:rsidP="005959E9">
            <w:pPr>
              <w:rPr>
                <w:rFonts w:cs="Arial"/>
              </w:rPr>
            </w:pPr>
            <w:r w:rsidRPr="00D46C2C">
              <w:rPr>
                <w:rFonts w:cs="Arial"/>
              </w:rPr>
              <w:t>Asset removed from BK Estate</w:t>
            </w:r>
            <w:r>
              <w:rPr>
                <w:rFonts w:cs="Arial"/>
              </w:rPr>
              <w:t xml:space="preserve"> and is no longer “property of the debtor” </w:t>
            </w:r>
            <w:hyperlink r:id="rId26" w:history="1">
              <w:r w:rsidRPr="005959E9">
                <w:rPr>
                  <w:rStyle w:val="Hyperlink"/>
                  <w:rFonts w:cs="Arial"/>
                </w:rPr>
                <w:t>11 USC 362</w:t>
              </w:r>
            </w:hyperlink>
            <w:r>
              <w:rPr>
                <w:rFonts w:cs="Arial"/>
              </w:rPr>
              <w:t>(a</w:t>
            </w:r>
            <w:proofErr w:type="gramStart"/>
            <w:r>
              <w:rPr>
                <w:rFonts w:cs="Arial"/>
              </w:rPr>
              <w:t>)(</w:t>
            </w:r>
            <w:proofErr w:type="gramEnd"/>
            <w:r>
              <w:rPr>
                <w:rFonts w:cs="Arial"/>
              </w:rPr>
              <w:t xml:space="preserve">5) </w:t>
            </w:r>
            <w:r w:rsidRPr="00D46C2C">
              <w:rPr>
                <w:rFonts w:cs="Arial"/>
              </w:rPr>
              <w:t xml:space="preserve">, so stay doesn’t affect </w:t>
            </w:r>
            <w:r>
              <w:rPr>
                <w:rFonts w:cs="Arial"/>
              </w:rPr>
              <w:t>pursuit of liens against new owner.</w:t>
            </w:r>
          </w:p>
        </w:tc>
      </w:tr>
      <w:tr w:rsidR="002E2D13" w:rsidRPr="00D46C2C" w:rsidTr="002E2D13">
        <w:tc>
          <w:tcPr>
            <w:tcW w:w="0" w:type="auto"/>
            <w:vMerge/>
          </w:tcPr>
          <w:p w:rsidR="002E2D13" w:rsidRPr="00D46C2C" w:rsidRDefault="002E2D13">
            <w:pPr>
              <w:rPr>
                <w:rFonts w:cs="Arial"/>
              </w:rPr>
            </w:pPr>
          </w:p>
        </w:tc>
        <w:tc>
          <w:tcPr>
            <w:tcW w:w="3996" w:type="dxa"/>
          </w:tcPr>
          <w:p w:rsidR="002E2D13" w:rsidRPr="00D46C2C" w:rsidRDefault="002E2D13" w:rsidP="00BB250C">
            <w:pPr>
              <w:rPr>
                <w:rFonts w:cs="Arial"/>
              </w:rPr>
            </w:pPr>
            <w:r w:rsidRPr="00D46C2C">
              <w:rPr>
                <w:rFonts w:cs="Arial"/>
                <w:b/>
              </w:rPr>
              <w:t>Sale/Lease subject to liens</w:t>
            </w:r>
            <w:r w:rsidRPr="00D46C2C">
              <w:rPr>
                <w:rFonts w:cs="Arial"/>
              </w:rPr>
              <w:t xml:space="preserve"> </w:t>
            </w:r>
            <w:hyperlink r:id="rId27" w:history="1">
              <w:r w:rsidRPr="00D46C2C">
                <w:rPr>
                  <w:rStyle w:val="Hyperlink"/>
                  <w:rFonts w:cs="Arial"/>
                </w:rPr>
                <w:t>11 USC 363</w:t>
              </w:r>
            </w:hyperlink>
            <w:r w:rsidRPr="00D46C2C">
              <w:rPr>
                <w:rFonts w:cs="Arial"/>
              </w:rPr>
              <w:t>(b) – special rules for sale of personally identifiable info.</w:t>
            </w:r>
          </w:p>
          <w:p w:rsidR="002E2D13" w:rsidRPr="00D46C2C" w:rsidRDefault="002E2D13" w:rsidP="00BB250C">
            <w:pPr>
              <w:pStyle w:val="ListParagraph"/>
              <w:numPr>
                <w:ilvl w:val="2"/>
                <w:numId w:val="1"/>
              </w:numPr>
              <w:ind w:left="285" w:hanging="270"/>
              <w:rPr>
                <w:rFonts w:cs="Arial"/>
              </w:rPr>
            </w:pPr>
            <w:r w:rsidRPr="00D46C2C">
              <w:rPr>
                <w:rFonts w:cs="Arial"/>
              </w:rPr>
              <w:t xml:space="preserve">Trustee or DIP.  </w:t>
            </w:r>
          </w:p>
          <w:p w:rsidR="002E2D13" w:rsidRPr="00D46C2C" w:rsidRDefault="002E2D13" w:rsidP="00BB250C">
            <w:pPr>
              <w:pStyle w:val="ListParagraph"/>
              <w:numPr>
                <w:ilvl w:val="2"/>
                <w:numId w:val="1"/>
              </w:numPr>
              <w:ind w:left="285" w:hanging="270"/>
              <w:rPr>
                <w:rFonts w:cs="Arial"/>
              </w:rPr>
            </w:pPr>
            <w:r w:rsidRPr="00D46C2C">
              <w:rPr>
                <w:rFonts w:cs="Arial"/>
              </w:rPr>
              <w:t>Notice &amp; Hearing (if requested)</w:t>
            </w:r>
          </w:p>
          <w:p w:rsidR="002E2D13" w:rsidRPr="00D46C2C" w:rsidRDefault="002E2D13" w:rsidP="00BB250C">
            <w:pPr>
              <w:pStyle w:val="ListParagraph"/>
              <w:numPr>
                <w:ilvl w:val="2"/>
                <w:numId w:val="1"/>
              </w:numPr>
              <w:ind w:left="285" w:hanging="270"/>
              <w:rPr>
                <w:rFonts w:cs="Arial"/>
              </w:rPr>
            </w:pPr>
            <w:r w:rsidRPr="00D46C2C">
              <w:rPr>
                <w:rFonts w:cs="Arial"/>
              </w:rPr>
              <w:t xml:space="preserve">No conditions to 363(b) </w:t>
            </w:r>
          </w:p>
          <w:p w:rsidR="002E2D13" w:rsidRPr="00D46C2C" w:rsidRDefault="002E2D13" w:rsidP="00BB250C">
            <w:pPr>
              <w:pStyle w:val="ListParagraph"/>
              <w:numPr>
                <w:ilvl w:val="2"/>
                <w:numId w:val="1"/>
              </w:numPr>
              <w:ind w:left="285" w:hanging="270"/>
              <w:rPr>
                <w:rFonts w:cs="Arial"/>
              </w:rPr>
            </w:pPr>
            <w:r w:rsidRPr="00D46C2C">
              <w:rPr>
                <w:rFonts w:cs="Arial"/>
              </w:rPr>
              <w:t xml:space="preserve">Order </w:t>
            </w:r>
            <w:proofErr w:type="spellStart"/>
            <w:r w:rsidRPr="00D46C2C">
              <w:rPr>
                <w:rFonts w:cs="Arial"/>
              </w:rPr>
              <w:t>req’d</w:t>
            </w:r>
            <w:proofErr w:type="spellEnd"/>
            <w:r w:rsidRPr="00D46C2C">
              <w:rPr>
                <w:rFonts w:cs="Arial"/>
              </w:rPr>
              <w:t xml:space="preserve"> only if objection</w:t>
            </w:r>
          </w:p>
          <w:p w:rsidR="002E2D13" w:rsidRPr="00D46C2C" w:rsidRDefault="002E2D13" w:rsidP="00BB250C">
            <w:pPr>
              <w:pStyle w:val="ListParagraph"/>
              <w:numPr>
                <w:ilvl w:val="2"/>
                <w:numId w:val="1"/>
              </w:numPr>
              <w:ind w:left="285" w:hanging="270"/>
              <w:rPr>
                <w:rFonts w:cs="Arial"/>
              </w:rPr>
            </w:pPr>
            <w:r w:rsidRPr="00D46C2C">
              <w:rPr>
                <w:rFonts w:cs="Arial"/>
              </w:rPr>
              <w:t xml:space="preserve">21 day notice of sale unless changed by court.   </w:t>
            </w:r>
            <w:hyperlink r:id="rId28" w:history="1">
              <w:r w:rsidRPr="00D46C2C">
                <w:rPr>
                  <w:rStyle w:val="Hyperlink"/>
                  <w:rFonts w:cs="Arial"/>
                </w:rPr>
                <w:t>BK Rule 2002</w:t>
              </w:r>
            </w:hyperlink>
            <w:r w:rsidRPr="00D46C2C">
              <w:rPr>
                <w:rFonts w:cs="Arial"/>
              </w:rPr>
              <w:t xml:space="preserve">(a) 14 day automatic stay applies unless the court orders otherwise </w:t>
            </w:r>
            <w:hyperlink r:id="rId29" w:history="1">
              <w:r w:rsidRPr="00D46C2C">
                <w:rPr>
                  <w:rStyle w:val="Hyperlink"/>
                  <w:rFonts w:cs="Arial"/>
                </w:rPr>
                <w:t>BK Rule 6004</w:t>
              </w:r>
            </w:hyperlink>
            <w:r w:rsidRPr="00D46C2C">
              <w:rPr>
                <w:rFonts w:cs="Arial"/>
              </w:rPr>
              <w:t>(h)</w:t>
            </w:r>
          </w:p>
          <w:p w:rsidR="002E2D13" w:rsidRPr="00D46C2C" w:rsidRDefault="002E2D13" w:rsidP="00BB250C">
            <w:pPr>
              <w:pStyle w:val="ListParagraph"/>
              <w:numPr>
                <w:ilvl w:val="2"/>
                <w:numId w:val="1"/>
              </w:numPr>
              <w:ind w:left="285" w:hanging="270"/>
              <w:rPr>
                <w:rFonts w:cs="Arial"/>
              </w:rPr>
            </w:pPr>
            <w:r w:rsidRPr="00D46C2C">
              <w:rPr>
                <w:rFonts w:cs="Arial"/>
              </w:rPr>
              <w:t>May sell free and clear of dowry/curtesy §363(g).  Has been applied to Entireties property.</w:t>
            </w:r>
          </w:p>
        </w:tc>
        <w:tc>
          <w:tcPr>
            <w:tcW w:w="0" w:type="auto"/>
          </w:tcPr>
          <w:p w:rsidR="002E2D13" w:rsidRPr="00D46C2C" w:rsidRDefault="002E2D13">
            <w:pPr>
              <w:rPr>
                <w:rFonts w:cs="Arial"/>
              </w:rPr>
            </w:pPr>
            <w:r w:rsidRPr="00D46C2C">
              <w:rPr>
                <w:rFonts w:cs="Arial"/>
              </w:rPr>
              <w:t>Liens continue</w:t>
            </w:r>
          </w:p>
        </w:tc>
        <w:tc>
          <w:tcPr>
            <w:tcW w:w="0" w:type="auto"/>
          </w:tcPr>
          <w:p w:rsidR="002E2D13" w:rsidRPr="00D46C2C" w:rsidRDefault="002E2D13">
            <w:pPr>
              <w:rPr>
                <w:rFonts w:cs="Arial"/>
              </w:rPr>
            </w:pPr>
            <w:r w:rsidRPr="00D46C2C">
              <w:rPr>
                <w:rFonts w:cs="Arial"/>
              </w:rPr>
              <w:t>Asset removed from BK Estate</w:t>
            </w:r>
            <w:r>
              <w:rPr>
                <w:rFonts w:cs="Arial"/>
              </w:rPr>
              <w:t xml:space="preserve"> and is no longer “property of the debtor” </w:t>
            </w:r>
            <w:hyperlink r:id="rId30" w:history="1">
              <w:r w:rsidRPr="005959E9">
                <w:rPr>
                  <w:rStyle w:val="Hyperlink"/>
                  <w:rFonts w:cs="Arial"/>
                </w:rPr>
                <w:t>11 USC 362</w:t>
              </w:r>
            </w:hyperlink>
            <w:r>
              <w:rPr>
                <w:rFonts w:cs="Arial"/>
              </w:rPr>
              <w:t>(a</w:t>
            </w:r>
            <w:proofErr w:type="gramStart"/>
            <w:r>
              <w:rPr>
                <w:rFonts w:cs="Arial"/>
              </w:rPr>
              <w:t>)(</w:t>
            </w:r>
            <w:proofErr w:type="gramEnd"/>
            <w:r>
              <w:rPr>
                <w:rFonts w:cs="Arial"/>
              </w:rPr>
              <w:t xml:space="preserve">5) </w:t>
            </w:r>
            <w:r w:rsidRPr="00D46C2C">
              <w:rPr>
                <w:rFonts w:cs="Arial"/>
              </w:rPr>
              <w:t xml:space="preserve">, so stay doesn’t affect </w:t>
            </w:r>
            <w:r>
              <w:rPr>
                <w:rFonts w:cs="Arial"/>
              </w:rPr>
              <w:t>pursuit of liens against new owner.</w:t>
            </w:r>
          </w:p>
        </w:tc>
      </w:tr>
      <w:tr w:rsidR="002E2D13" w:rsidRPr="00D46C2C" w:rsidTr="002E2D13">
        <w:tc>
          <w:tcPr>
            <w:tcW w:w="0" w:type="auto"/>
            <w:vMerge/>
          </w:tcPr>
          <w:p w:rsidR="002E2D13" w:rsidRPr="00D46C2C" w:rsidRDefault="002E2D13">
            <w:pPr>
              <w:rPr>
                <w:rFonts w:cs="Arial"/>
              </w:rPr>
            </w:pPr>
          </w:p>
        </w:tc>
        <w:tc>
          <w:tcPr>
            <w:tcW w:w="3996" w:type="dxa"/>
          </w:tcPr>
          <w:p w:rsidR="002E2D13" w:rsidRPr="00D46C2C" w:rsidRDefault="002E2D13" w:rsidP="00B1070C">
            <w:pPr>
              <w:rPr>
                <w:rFonts w:cs="Arial"/>
              </w:rPr>
            </w:pPr>
            <w:r w:rsidRPr="00D46C2C">
              <w:rPr>
                <w:rFonts w:cs="Arial"/>
                <w:b/>
              </w:rPr>
              <w:t>Sale free and clear</w:t>
            </w:r>
            <w:r w:rsidRPr="00D46C2C">
              <w:rPr>
                <w:rFonts w:cs="Arial"/>
              </w:rPr>
              <w:t xml:space="preserve"> </w:t>
            </w:r>
            <w:hyperlink r:id="rId31" w:history="1">
              <w:r w:rsidRPr="00D46C2C">
                <w:rPr>
                  <w:rStyle w:val="Hyperlink"/>
                  <w:rFonts w:cs="Arial"/>
                </w:rPr>
                <w:t>11 USC 363</w:t>
              </w:r>
            </w:hyperlink>
            <w:r w:rsidRPr="00D46C2C">
              <w:rPr>
                <w:rFonts w:cs="Arial"/>
              </w:rPr>
              <w:t xml:space="preserve">(f).  Notice and hearing required.  May sell “free and Clear” </w:t>
            </w:r>
            <w:r w:rsidRPr="00E93F7B">
              <w:rPr>
                <w:rFonts w:cs="Arial"/>
                <w:b/>
                <w:u w:val="single"/>
              </w:rPr>
              <w:t>only if</w:t>
            </w:r>
            <w:r w:rsidRPr="00D46C2C">
              <w:rPr>
                <w:rFonts w:cs="Arial"/>
              </w:rPr>
              <w:t xml:space="preserve">: </w:t>
            </w:r>
          </w:p>
          <w:p w:rsidR="002E2D13" w:rsidRPr="00D46C2C" w:rsidRDefault="002E2D13" w:rsidP="00B1070C">
            <w:pPr>
              <w:pStyle w:val="ListParagraph"/>
              <w:numPr>
                <w:ilvl w:val="3"/>
                <w:numId w:val="1"/>
              </w:numPr>
              <w:ind w:left="313" w:hanging="270"/>
              <w:rPr>
                <w:rFonts w:cs="Arial"/>
              </w:rPr>
            </w:pPr>
            <w:r w:rsidRPr="00D46C2C">
              <w:rPr>
                <w:rFonts w:eastAsia="Times New Roman" w:cs="Arial"/>
              </w:rPr>
              <w:t xml:space="preserve">applicable </w:t>
            </w:r>
            <w:proofErr w:type="spellStart"/>
            <w:r w:rsidRPr="00D46C2C">
              <w:rPr>
                <w:rFonts w:eastAsia="Times New Roman" w:cs="Arial"/>
              </w:rPr>
              <w:t>nonbankruptcy</w:t>
            </w:r>
            <w:proofErr w:type="spellEnd"/>
            <w:r w:rsidRPr="00D46C2C">
              <w:rPr>
                <w:rFonts w:eastAsia="Times New Roman" w:cs="Arial"/>
              </w:rPr>
              <w:t xml:space="preserve"> law permits sale of such property free and clear of such interest;</w:t>
            </w:r>
            <w:bookmarkStart w:id="0" w:name="f_2"/>
            <w:bookmarkEnd w:id="0"/>
          </w:p>
          <w:p w:rsidR="002E2D13" w:rsidRPr="00D46C2C" w:rsidRDefault="002E2D13" w:rsidP="00B1070C">
            <w:pPr>
              <w:pStyle w:val="ListParagraph"/>
              <w:numPr>
                <w:ilvl w:val="3"/>
                <w:numId w:val="1"/>
              </w:numPr>
              <w:ind w:left="313" w:hanging="270"/>
              <w:rPr>
                <w:rFonts w:eastAsia="Times New Roman" w:cs="Arial"/>
              </w:rPr>
            </w:pPr>
            <w:r w:rsidRPr="00D46C2C">
              <w:rPr>
                <w:rFonts w:eastAsia="Times New Roman" w:cs="Arial"/>
              </w:rPr>
              <w:t>Holder of lien consents;</w:t>
            </w:r>
          </w:p>
          <w:p w:rsidR="002E2D13" w:rsidRPr="00D46C2C" w:rsidRDefault="002E2D13" w:rsidP="00B1070C">
            <w:pPr>
              <w:pStyle w:val="ListParagraph"/>
              <w:numPr>
                <w:ilvl w:val="3"/>
                <w:numId w:val="1"/>
              </w:numPr>
              <w:ind w:left="313" w:hanging="270"/>
              <w:rPr>
                <w:rFonts w:eastAsia="Times New Roman" w:cs="Arial"/>
              </w:rPr>
            </w:pPr>
            <w:r w:rsidRPr="00D46C2C">
              <w:rPr>
                <w:rFonts w:eastAsia="Times New Roman" w:cs="Arial"/>
              </w:rPr>
              <w:t>price at which such property is to be sold is greater than the aggregate value of all liens on such property;</w:t>
            </w:r>
          </w:p>
          <w:p w:rsidR="002E2D13" w:rsidRPr="00D46C2C" w:rsidRDefault="002E2D13" w:rsidP="00B1070C">
            <w:pPr>
              <w:pStyle w:val="ListParagraph"/>
              <w:numPr>
                <w:ilvl w:val="3"/>
                <w:numId w:val="1"/>
              </w:numPr>
              <w:ind w:left="313" w:hanging="270"/>
              <w:rPr>
                <w:rFonts w:eastAsia="Times New Roman" w:cs="Arial"/>
              </w:rPr>
            </w:pPr>
            <w:r w:rsidRPr="00D46C2C">
              <w:rPr>
                <w:rFonts w:eastAsia="Times New Roman" w:cs="Arial"/>
              </w:rPr>
              <w:t>lien or other interest “is in bona fide dispute”; or</w:t>
            </w:r>
            <w:bookmarkStart w:id="1" w:name="f_5"/>
            <w:bookmarkEnd w:id="1"/>
          </w:p>
          <w:p w:rsidR="002E2D13" w:rsidRPr="00D46C2C" w:rsidRDefault="002E2D13" w:rsidP="00B1070C">
            <w:pPr>
              <w:pStyle w:val="ListParagraph"/>
              <w:numPr>
                <w:ilvl w:val="3"/>
                <w:numId w:val="1"/>
              </w:numPr>
              <w:spacing w:after="160" w:line="259" w:lineRule="auto"/>
              <w:ind w:left="313" w:hanging="270"/>
              <w:rPr>
                <w:rFonts w:cs="Arial"/>
              </w:rPr>
            </w:pPr>
            <w:r w:rsidRPr="00D46C2C">
              <w:rPr>
                <w:rFonts w:eastAsia="Times New Roman" w:cs="Arial"/>
              </w:rPr>
              <w:t>Lienholder could be compelled, in a legal or equitable proceeding, to accept a money satisfaction of such interest.</w:t>
            </w:r>
          </w:p>
          <w:p w:rsidR="002E2D13" w:rsidRPr="00D46C2C" w:rsidRDefault="002E2D13" w:rsidP="00BC6639">
            <w:pPr>
              <w:ind w:left="43"/>
              <w:rPr>
                <w:rFonts w:cs="Arial"/>
              </w:rPr>
            </w:pPr>
            <w:r w:rsidRPr="00D46C2C">
              <w:rPr>
                <w:rFonts w:cs="Arial"/>
              </w:rPr>
              <w:lastRenderedPageBreak/>
              <w:t xml:space="preserve">21 day notice of sale unless changed by court.   </w:t>
            </w:r>
            <w:hyperlink r:id="rId32" w:history="1">
              <w:r w:rsidRPr="00D46C2C">
                <w:rPr>
                  <w:rStyle w:val="Hyperlink"/>
                  <w:rFonts w:cs="Arial"/>
                </w:rPr>
                <w:t>BK Rule 2002</w:t>
              </w:r>
            </w:hyperlink>
            <w:r w:rsidRPr="00D46C2C">
              <w:rPr>
                <w:rFonts w:cs="Arial"/>
              </w:rPr>
              <w:t xml:space="preserve">(a) 14 day stay applies </w:t>
            </w:r>
            <w:hyperlink r:id="rId33" w:history="1">
              <w:r w:rsidRPr="00D46C2C">
                <w:rPr>
                  <w:rStyle w:val="Hyperlink"/>
                  <w:rFonts w:cs="Arial"/>
                </w:rPr>
                <w:t>BK Rule 6004</w:t>
              </w:r>
            </w:hyperlink>
            <w:r w:rsidRPr="00D46C2C">
              <w:rPr>
                <w:rFonts w:cs="Arial"/>
              </w:rPr>
              <w:t>(h)</w:t>
            </w:r>
          </w:p>
          <w:p w:rsidR="002E2D13" w:rsidRPr="00BC6639" w:rsidRDefault="002E2D13" w:rsidP="00BC6639">
            <w:pPr>
              <w:rPr>
                <w:rFonts w:eastAsia="Times New Roman" w:cs="Arial"/>
                <w:color w:val="333333"/>
              </w:rPr>
            </w:pPr>
            <w:r w:rsidRPr="00D46C2C">
              <w:rPr>
                <w:rFonts w:cs="Arial"/>
              </w:rPr>
              <w:t xml:space="preserve">Note:  BK Trustee may sell interest of a co-tenant in property.  </w:t>
            </w:r>
          </w:p>
          <w:p w:rsidR="002E2D13" w:rsidRPr="00D46C2C" w:rsidRDefault="002E2D13" w:rsidP="00617CF6">
            <w:pPr>
              <w:ind w:left="43"/>
              <w:rPr>
                <w:rFonts w:cs="Arial"/>
              </w:rPr>
            </w:pPr>
          </w:p>
          <w:p w:rsidR="002E2D13" w:rsidRPr="00D46C2C" w:rsidRDefault="002E2D13" w:rsidP="00617CF6">
            <w:pPr>
              <w:ind w:left="43"/>
              <w:rPr>
                <w:rFonts w:cs="Arial"/>
              </w:rPr>
            </w:pPr>
            <w:r w:rsidRPr="00D46C2C">
              <w:rPr>
                <w:rFonts w:cs="Arial"/>
              </w:rPr>
              <w:t xml:space="preserve">Safe Harbor for BFP  </w:t>
            </w:r>
            <w:r w:rsidRPr="00D46C2C">
              <w:rPr>
                <w:rStyle w:val="Hyperlink"/>
                <w:rFonts w:cs="Arial"/>
              </w:rPr>
              <w:t xml:space="preserve">11 </w:t>
            </w:r>
            <w:hyperlink r:id="rId34" w:history="1">
              <w:r w:rsidRPr="00D46C2C">
                <w:rPr>
                  <w:rStyle w:val="Hyperlink"/>
                  <w:rFonts w:cs="Arial"/>
                </w:rPr>
                <w:t>USC</w:t>
              </w:r>
            </w:hyperlink>
            <w:r w:rsidRPr="00D46C2C">
              <w:rPr>
                <w:rStyle w:val="Hyperlink"/>
                <w:rFonts w:cs="Arial"/>
              </w:rPr>
              <w:t xml:space="preserve"> 363</w:t>
            </w:r>
            <w:r w:rsidRPr="00D46C2C">
              <w:rPr>
                <w:rFonts w:cs="Arial"/>
              </w:rPr>
              <w:t>(m)</w:t>
            </w:r>
          </w:p>
          <w:p w:rsidR="002E2D13" w:rsidRPr="00D46C2C" w:rsidRDefault="002E2D13" w:rsidP="00617CF6">
            <w:pPr>
              <w:ind w:left="43"/>
              <w:rPr>
                <w:rFonts w:cs="Arial"/>
              </w:rPr>
            </w:pPr>
          </w:p>
        </w:tc>
        <w:tc>
          <w:tcPr>
            <w:tcW w:w="0" w:type="auto"/>
          </w:tcPr>
          <w:p w:rsidR="002E2D13" w:rsidRPr="00D46C2C" w:rsidRDefault="002E2D13" w:rsidP="00E60CA5">
            <w:pPr>
              <w:rPr>
                <w:rFonts w:cs="Arial"/>
              </w:rPr>
            </w:pPr>
            <w:r w:rsidRPr="00D46C2C">
              <w:rPr>
                <w:rFonts w:cs="Arial"/>
              </w:rPr>
              <w:lastRenderedPageBreak/>
              <w:t>Free and Clear, if and as provided by the unopposed motion or final order.</w:t>
            </w:r>
          </w:p>
        </w:tc>
        <w:tc>
          <w:tcPr>
            <w:tcW w:w="0" w:type="auto"/>
          </w:tcPr>
          <w:p w:rsidR="002E2D13" w:rsidRPr="00D46C2C" w:rsidRDefault="002E2D13">
            <w:pPr>
              <w:rPr>
                <w:rFonts w:cs="Arial"/>
              </w:rPr>
            </w:pPr>
            <w:r>
              <w:rPr>
                <w:rFonts w:cs="Arial"/>
              </w:rPr>
              <w:t>Stay irrelevant</w:t>
            </w:r>
          </w:p>
        </w:tc>
      </w:tr>
      <w:tr w:rsidR="00CD5785" w:rsidRPr="00D46C2C" w:rsidTr="002E2D13">
        <w:tc>
          <w:tcPr>
            <w:tcW w:w="0" w:type="auto"/>
            <w:vMerge/>
          </w:tcPr>
          <w:p w:rsidR="00CD5785" w:rsidRPr="00D46C2C" w:rsidRDefault="00CD5785">
            <w:pPr>
              <w:rPr>
                <w:rFonts w:cs="Arial"/>
              </w:rPr>
            </w:pPr>
          </w:p>
        </w:tc>
        <w:tc>
          <w:tcPr>
            <w:tcW w:w="3996" w:type="dxa"/>
          </w:tcPr>
          <w:p w:rsidR="00CD5785" w:rsidRDefault="00CD5785" w:rsidP="003D3C2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Sale/mortgage under </w:t>
            </w:r>
            <w:proofErr w:type="spellStart"/>
            <w:r>
              <w:rPr>
                <w:rFonts w:cs="Arial"/>
                <w:b/>
              </w:rPr>
              <w:t>Ch</w:t>
            </w:r>
            <w:proofErr w:type="spellEnd"/>
            <w:r>
              <w:rPr>
                <w:rFonts w:cs="Arial"/>
                <w:b/>
              </w:rPr>
              <w:t xml:space="preserve"> 7</w:t>
            </w:r>
          </w:p>
          <w:p w:rsidR="00CD5785" w:rsidRPr="00CD5785" w:rsidRDefault="00CD5785" w:rsidP="00CD5785">
            <w:pPr>
              <w:rPr>
                <w:rFonts w:cs="Arial"/>
              </w:rPr>
            </w:pPr>
            <w:r w:rsidRPr="00CD5785">
              <w:rPr>
                <w:rFonts w:cs="Arial"/>
              </w:rPr>
              <w:t>Sales may be made under any of above sections</w:t>
            </w:r>
            <w:r w:rsidR="00A86152">
              <w:rPr>
                <w:rFonts w:cs="Arial"/>
              </w:rPr>
              <w:t xml:space="preserve"> in </w:t>
            </w:r>
            <w:proofErr w:type="spellStart"/>
            <w:r w:rsidR="00A86152">
              <w:rPr>
                <w:rFonts w:cs="Arial"/>
              </w:rPr>
              <w:t>Ch</w:t>
            </w:r>
            <w:proofErr w:type="spellEnd"/>
            <w:r w:rsidR="00A86152">
              <w:rPr>
                <w:rFonts w:cs="Arial"/>
              </w:rPr>
              <w:t xml:space="preserve"> 7</w:t>
            </w:r>
            <w:r w:rsidRPr="00CD5785">
              <w:rPr>
                <w:rFonts w:cs="Arial"/>
              </w:rPr>
              <w:t>.  New Mortgage rare in 7, seek underwriting assistance.</w:t>
            </w:r>
          </w:p>
        </w:tc>
        <w:tc>
          <w:tcPr>
            <w:tcW w:w="0" w:type="auto"/>
          </w:tcPr>
          <w:p w:rsidR="00CD5785" w:rsidRPr="00D46C2C" w:rsidRDefault="00CD5785" w:rsidP="00CD5785">
            <w:pPr>
              <w:rPr>
                <w:rFonts w:cs="Arial"/>
              </w:rPr>
            </w:pPr>
            <w:r>
              <w:rPr>
                <w:rFonts w:cs="Arial"/>
              </w:rPr>
              <w:t xml:space="preserve">Underwater liens may not be stripped.  </w:t>
            </w:r>
            <w:r>
              <w:rPr>
                <w:rFonts w:ascii="Helvetica" w:hAnsi="Helvetica" w:cs="Helvetica"/>
                <w:color w:val="2C3E50"/>
                <w:sz w:val="23"/>
                <w:szCs w:val="23"/>
                <w:shd w:val="clear" w:color="auto" w:fill="FFFFFF"/>
              </w:rPr>
              <w:t> </w:t>
            </w:r>
            <w:hyperlink r:id="rId35" w:history="1">
              <w:r>
                <w:rPr>
                  <w:rStyle w:val="Hyperlink"/>
                  <w:rFonts w:ascii="Helvetica" w:hAnsi="Helvetica" w:cs="Helvetica"/>
                  <w:i/>
                  <w:iCs/>
                  <w:color w:val="18BC9C"/>
                  <w:sz w:val="23"/>
                  <w:szCs w:val="23"/>
                  <w:shd w:val="clear" w:color="auto" w:fill="FFFFFF"/>
                </w:rPr>
                <w:t xml:space="preserve">Bank of America v. </w:t>
              </w:r>
              <w:proofErr w:type="spellStart"/>
              <w:r>
                <w:rPr>
                  <w:rStyle w:val="Hyperlink"/>
                  <w:rFonts w:ascii="Helvetica" w:hAnsi="Helvetica" w:cs="Helvetica"/>
                  <w:i/>
                  <w:iCs/>
                  <w:color w:val="18BC9C"/>
                  <w:sz w:val="23"/>
                  <w:szCs w:val="23"/>
                  <w:shd w:val="clear" w:color="auto" w:fill="FFFFFF"/>
                </w:rPr>
                <w:t>Caulkett</w:t>
              </w:r>
              <w:proofErr w:type="spellEnd"/>
            </w:hyperlink>
            <w:r>
              <w:rPr>
                <w:rFonts w:ascii="Helvetica" w:hAnsi="Helvetica" w:cs="Helvetica"/>
                <w:color w:val="2C3E50"/>
                <w:sz w:val="23"/>
                <w:szCs w:val="23"/>
                <w:shd w:val="clear" w:color="auto" w:fill="FFFFFF"/>
              </w:rPr>
              <w:t>,</w:t>
            </w:r>
            <w:r>
              <w:rPr>
                <w:rFonts w:ascii="Helvetica" w:hAnsi="Helvetica" w:cs="Helvetica"/>
                <w:color w:val="2C3E50"/>
                <w:sz w:val="23"/>
                <w:szCs w:val="23"/>
                <w:shd w:val="clear" w:color="auto" w:fill="FFFFFF"/>
              </w:rPr>
              <w:t xml:space="preserve"> 135 </w:t>
            </w:r>
            <w:proofErr w:type="spellStart"/>
            <w:r>
              <w:rPr>
                <w:rFonts w:ascii="Helvetica" w:hAnsi="Helvetica" w:cs="Helvetica"/>
                <w:color w:val="2C3E50"/>
                <w:sz w:val="23"/>
                <w:szCs w:val="23"/>
                <w:shd w:val="clear" w:color="auto" w:fill="FFFFFF"/>
              </w:rPr>
              <w:t>S.Ct</w:t>
            </w:r>
            <w:proofErr w:type="spellEnd"/>
            <w:r>
              <w:rPr>
                <w:rFonts w:ascii="Helvetica" w:hAnsi="Helvetica" w:cs="Helvetica"/>
                <w:color w:val="2C3E50"/>
                <w:sz w:val="23"/>
                <w:szCs w:val="23"/>
                <w:shd w:val="clear" w:color="auto" w:fill="FFFFFF"/>
              </w:rPr>
              <w:t>. 1995 (SC 2015).</w:t>
            </w:r>
          </w:p>
        </w:tc>
        <w:tc>
          <w:tcPr>
            <w:tcW w:w="0" w:type="auto"/>
          </w:tcPr>
          <w:p w:rsidR="00CD5785" w:rsidRPr="00D46C2C" w:rsidRDefault="00A86152">
            <w:pPr>
              <w:rPr>
                <w:rFonts w:cs="Arial"/>
              </w:rPr>
            </w:pPr>
            <w:r w:rsidRPr="00D46C2C">
              <w:rPr>
                <w:rFonts w:cs="Arial"/>
              </w:rPr>
              <w:t>Asset removed from BK Estate</w:t>
            </w:r>
            <w:r>
              <w:rPr>
                <w:rFonts w:cs="Arial"/>
              </w:rPr>
              <w:t xml:space="preserve"> and is no longer “property of the debtor” </w:t>
            </w:r>
            <w:hyperlink r:id="rId36" w:history="1">
              <w:r w:rsidRPr="005959E9">
                <w:rPr>
                  <w:rStyle w:val="Hyperlink"/>
                  <w:rFonts w:cs="Arial"/>
                </w:rPr>
                <w:t>11 USC 362</w:t>
              </w:r>
            </w:hyperlink>
            <w:r>
              <w:rPr>
                <w:rFonts w:cs="Arial"/>
              </w:rPr>
              <w:t>(a</w:t>
            </w:r>
            <w:proofErr w:type="gramStart"/>
            <w:r>
              <w:rPr>
                <w:rFonts w:cs="Arial"/>
              </w:rPr>
              <w:t>)(</w:t>
            </w:r>
            <w:proofErr w:type="gramEnd"/>
            <w:r>
              <w:rPr>
                <w:rFonts w:cs="Arial"/>
              </w:rPr>
              <w:t xml:space="preserve">5) </w:t>
            </w:r>
            <w:r w:rsidRPr="00D46C2C">
              <w:rPr>
                <w:rFonts w:cs="Arial"/>
              </w:rPr>
              <w:t xml:space="preserve">, so stay doesn’t affect </w:t>
            </w:r>
            <w:r>
              <w:rPr>
                <w:rFonts w:cs="Arial"/>
              </w:rPr>
              <w:t>pursuit of liens against new owner.</w:t>
            </w:r>
          </w:p>
        </w:tc>
      </w:tr>
      <w:tr w:rsidR="002E2D13" w:rsidRPr="00D46C2C" w:rsidTr="002E2D13">
        <w:tc>
          <w:tcPr>
            <w:tcW w:w="0" w:type="auto"/>
            <w:vMerge/>
          </w:tcPr>
          <w:p w:rsidR="002E2D13" w:rsidRPr="00D46C2C" w:rsidRDefault="002E2D13">
            <w:pPr>
              <w:rPr>
                <w:rFonts w:cs="Arial"/>
              </w:rPr>
            </w:pPr>
          </w:p>
        </w:tc>
        <w:tc>
          <w:tcPr>
            <w:tcW w:w="3996" w:type="dxa"/>
          </w:tcPr>
          <w:p w:rsidR="002E2D13" w:rsidRPr="00D46C2C" w:rsidRDefault="002E2D13" w:rsidP="003D3C29">
            <w:pPr>
              <w:rPr>
                <w:rFonts w:cs="Arial"/>
                <w:b/>
              </w:rPr>
            </w:pPr>
            <w:r w:rsidRPr="00D46C2C">
              <w:rPr>
                <w:rFonts w:cs="Arial"/>
                <w:b/>
              </w:rPr>
              <w:t xml:space="preserve">Sale/mortgage under </w:t>
            </w:r>
            <w:proofErr w:type="spellStart"/>
            <w:r w:rsidRPr="00D46C2C">
              <w:rPr>
                <w:rFonts w:cs="Arial"/>
                <w:b/>
              </w:rPr>
              <w:t>Ch</w:t>
            </w:r>
            <w:proofErr w:type="spellEnd"/>
            <w:r w:rsidRPr="00D46C2C">
              <w:rPr>
                <w:rFonts w:cs="Arial"/>
                <w:b/>
              </w:rPr>
              <w:t xml:space="preserve"> 11 Plan </w:t>
            </w:r>
          </w:p>
          <w:p w:rsidR="002E2D13" w:rsidRPr="00D46C2C" w:rsidRDefault="002E2D13" w:rsidP="00F96061">
            <w:pPr>
              <w:pStyle w:val="ListParagraph"/>
              <w:numPr>
                <w:ilvl w:val="3"/>
                <w:numId w:val="1"/>
              </w:numPr>
              <w:ind w:left="313" w:hanging="270"/>
              <w:rPr>
                <w:rFonts w:eastAsia="Times New Roman" w:cs="Arial"/>
              </w:rPr>
            </w:pPr>
            <w:r w:rsidRPr="00D46C2C">
              <w:rPr>
                <w:rFonts w:eastAsia="Times New Roman" w:cs="Arial"/>
              </w:rPr>
              <w:t xml:space="preserve">May be free from liens, subject to liens or in ordinary course depending on plan. </w:t>
            </w:r>
          </w:p>
          <w:p w:rsidR="002E2D13" w:rsidRPr="00D46C2C" w:rsidRDefault="002E2D13" w:rsidP="00F96061">
            <w:pPr>
              <w:pStyle w:val="ListParagraph"/>
              <w:numPr>
                <w:ilvl w:val="3"/>
                <w:numId w:val="1"/>
              </w:numPr>
              <w:ind w:left="313" w:hanging="270"/>
              <w:rPr>
                <w:rFonts w:eastAsia="Times New Roman" w:cs="Arial"/>
              </w:rPr>
            </w:pPr>
            <w:r w:rsidRPr="00D46C2C">
              <w:rPr>
                <w:rFonts w:eastAsia="Times New Roman" w:cs="Arial"/>
              </w:rPr>
              <w:t xml:space="preserve">Plan will spell out specific disposition of property. </w:t>
            </w:r>
          </w:p>
          <w:p w:rsidR="002E2D13" w:rsidRPr="00D46C2C" w:rsidRDefault="002E2D13" w:rsidP="00F96061">
            <w:pPr>
              <w:pStyle w:val="ListParagraph"/>
              <w:numPr>
                <w:ilvl w:val="3"/>
                <w:numId w:val="1"/>
              </w:numPr>
              <w:ind w:left="313" w:hanging="270"/>
              <w:rPr>
                <w:rFonts w:cs="Arial"/>
              </w:rPr>
            </w:pPr>
            <w:r w:rsidRPr="00D46C2C">
              <w:rPr>
                <w:rFonts w:eastAsia="Times New Roman" w:cs="Arial"/>
              </w:rPr>
              <w:t xml:space="preserve">Unless sold during bankruptcy, confirmation of plan vests property back in the debtor.   </w:t>
            </w:r>
            <w:hyperlink r:id="rId37" w:history="1">
              <w:r w:rsidRPr="00D46C2C">
                <w:rPr>
                  <w:rStyle w:val="Hyperlink"/>
                  <w:rFonts w:cs="Arial"/>
                </w:rPr>
                <w:t>11 USC 1141</w:t>
              </w:r>
            </w:hyperlink>
            <w:r w:rsidRPr="00D46C2C">
              <w:rPr>
                <w:rFonts w:eastAsia="Times New Roman" w:cs="Arial"/>
              </w:rPr>
              <w:t>(b)</w:t>
            </w:r>
          </w:p>
        </w:tc>
        <w:tc>
          <w:tcPr>
            <w:tcW w:w="0" w:type="auto"/>
          </w:tcPr>
          <w:p w:rsidR="002E2D13" w:rsidRPr="00D46C2C" w:rsidRDefault="002E2D13">
            <w:pPr>
              <w:rPr>
                <w:rFonts w:cs="Arial"/>
              </w:rPr>
            </w:pPr>
            <w:r w:rsidRPr="00D46C2C">
              <w:rPr>
                <w:rFonts w:cs="Arial"/>
              </w:rPr>
              <w:t>Liens continue or not as set forth in Plan</w:t>
            </w:r>
          </w:p>
          <w:p w:rsidR="002E2D13" w:rsidRPr="00D46C2C" w:rsidRDefault="002E2D13">
            <w:pPr>
              <w:rPr>
                <w:rFonts w:cs="Arial"/>
              </w:rPr>
            </w:pPr>
          </w:p>
          <w:p w:rsidR="002E2D13" w:rsidRPr="00D46C2C" w:rsidRDefault="002E2D13">
            <w:pPr>
              <w:rPr>
                <w:rFonts w:cs="Arial"/>
              </w:rPr>
            </w:pPr>
            <w:r w:rsidRPr="00D46C2C">
              <w:rPr>
                <w:rFonts w:cs="Arial"/>
              </w:rPr>
              <w:t>Court may strip underwater liens in 11</w:t>
            </w:r>
          </w:p>
        </w:tc>
        <w:tc>
          <w:tcPr>
            <w:tcW w:w="0" w:type="auto"/>
          </w:tcPr>
          <w:p w:rsidR="002E2D13" w:rsidRPr="00D46C2C" w:rsidRDefault="00A86152">
            <w:pPr>
              <w:rPr>
                <w:rFonts w:cs="Arial"/>
              </w:rPr>
            </w:pPr>
            <w:r w:rsidRPr="00D46C2C">
              <w:rPr>
                <w:rFonts w:cs="Arial"/>
              </w:rPr>
              <w:t>Asset removed from BK Estate</w:t>
            </w:r>
            <w:r>
              <w:rPr>
                <w:rFonts w:cs="Arial"/>
              </w:rPr>
              <w:t xml:space="preserve"> and is no longer “property of the debtor” </w:t>
            </w:r>
            <w:hyperlink r:id="rId38" w:history="1">
              <w:r w:rsidRPr="005959E9">
                <w:rPr>
                  <w:rStyle w:val="Hyperlink"/>
                  <w:rFonts w:cs="Arial"/>
                </w:rPr>
                <w:t>11 USC 362</w:t>
              </w:r>
            </w:hyperlink>
            <w:r>
              <w:rPr>
                <w:rFonts w:cs="Arial"/>
              </w:rPr>
              <w:t>(a</w:t>
            </w:r>
            <w:proofErr w:type="gramStart"/>
            <w:r>
              <w:rPr>
                <w:rFonts w:cs="Arial"/>
              </w:rPr>
              <w:t>)(</w:t>
            </w:r>
            <w:proofErr w:type="gramEnd"/>
            <w:r>
              <w:rPr>
                <w:rFonts w:cs="Arial"/>
              </w:rPr>
              <w:t xml:space="preserve">5) </w:t>
            </w:r>
            <w:r w:rsidRPr="00D46C2C">
              <w:rPr>
                <w:rFonts w:cs="Arial"/>
              </w:rPr>
              <w:t xml:space="preserve">, so stay doesn’t affect </w:t>
            </w:r>
            <w:r>
              <w:rPr>
                <w:rFonts w:cs="Arial"/>
              </w:rPr>
              <w:t>pursuit of liens against new owner.</w:t>
            </w:r>
          </w:p>
        </w:tc>
      </w:tr>
      <w:tr w:rsidR="002E2D13" w:rsidRPr="00D46C2C" w:rsidTr="002E2D13">
        <w:tc>
          <w:tcPr>
            <w:tcW w:w="0" w:type="auto"/>
            <w:vMerge/>
          </w:tcPr>
          <w:p w:rsidR="002E2D13" w:rsidRPr="00D46C2C" w:rsidRDefault="002E2D13">
            <w:pPr>
              <w:rPr>
                <w:rFonts w:cs="Arial"/>
              </w:rPr>
            </w:pPr>
          </w:p>
        </w:tc>
        <w:tc>
          <w:tcPr>
            <w:tcW w:w="3996" w:type="dxa"/>
          </w:tcPr>
          <w:p w:rsidR="002E2D13" w:rsidRPr="00D46C2C" w:rsidRDefault="002E2D13" w:rsidP="001E50B0">
            <w:pPr>
              <w:spacing w:after="200" w:line="276" w:lineRule="auto"/>
              <w:rPr>
                <w:rFonts w:cs="Arial"/>
                <w:b/>
              </w:rPr>
            </w:pPr>
            <w:r w:rsidRPr="00D46C2C">
              <w:rPr>
                <w:rFonts w:cs="Arial"/>
                <w:b/>
              </w:rPr>
              <w:t>Sale from Chapter 13 Plan</w:t>
            </w:r>
          </w:p>
          <w:p w:rsidR="002E2D13" w:rsidRPr="00D46C2C" w:rsidRDefault="002E2D13" w:rsidP="001E50B0">
            <w:pPr>
              <w:pStyle w:val="ListParagraph"/>
              <w:numPr>
                <w:ilvl w:val="3"/>
                <w:numId w:val="1"/>
              </w:numPr>
              <w:ind w:left="313" w:hanging="270"/>
              <w:rPr>
                <w:rFonts w:eastAsia="Times New Roman" w:cs="Arial"/>
              </w:rPr>
            </w:pPr>
            <w:r w:rsidRPr="00D46C2C">
              <w:rPr>
                <w:rFonts w:eastAsia="Times New Roman" w:cs="Arial"/>
              </w:rPr>
              <w:t xml:space="preserve">Sale May be free from liens, subject to liens or in ordinary course depending on plan. </w:t>
            </w:r>
            <w:r w:rsidR="00CD5785">
              <w:rPr>
                <w:rFonts w:eastAsia="Times New Roman" w:cs="Arial"/>
              </w:rPr>
              <w:t xml:space="preserve"> See above.</w:t>
            </w:r>
          </w:p>
          <w:p w:rsidR="002E2D13" w:rsidRPr="00D46C2C" w:rsidRDefault="002E2D13" w:rsidP="001E50B0">
            <w:pPr>
              <w:pStyle w:val="ListParagraph"/>
              <w:numPr>
                <w:ilvl w:val="3"/>
                <w:numId w:val="1"/>
              </w:numPr>
              <w:ind w:left="313" w:hanging="270"/>
              <w:rPr>
                <w:rFonts w:eastAsia="Times New Roman" w:cs="Arial"/>
              </w:rPr>
            </w:pPr>
            <w:r w:rsidRPr="00D46C2C">
              <w:rPr>
                <w:rFonts w:eastAsia="Times New Roman" w:cs="Arial"/>
              </w:rPr>
              <w:t xml:space="preserve">Plan may also make other disposition of Real Estate.  </w:t>
            </w:r>
            <w:hyperlink r:id="rId39" w:history="1">
              <w:r w:rsidRPr="00D46C2C">
                <w:rPr>
                  <w:rStyle w:val="Hyperlink"/>
                  <w:rFonts w:eastAsia="Times New Roman" w:cs="Arial"/>
                </w:rPr>
                <w:t>11 USC 1322</w:t>
              </w:r>
            </w:hyperlink>
            <w:r w:rsidRPr="00D46C2C">
              <w:rPr>
                <w:rFonts w:eastAsia="Times New Roman" w:cs="Arial"/>
              </w:rPr>
              <w:t>(b)(9)</w:t>
            </w:r>
          </w:p>
          <w:p w:rsidR="002E2D13" w:rsidRPr="00D46C2C" w:rsidRDefault="002E2D13" w:rsidP="001E50B0">
            <w:pPr>
              <w:pStyle w:val="ListParagraph"/>
              <w:numPr>
                <w:ilvl w:val="3"/>
                <w:numId w:val="1"/>
              </w:numPr>
              <w:ind w:left="313" w:hanging="270"/>
              <w:rPr>
                <w:rFonts w:eastAsia="Times New Roman" w:cs="Arial"/>
              </w:rPr>
            </w:pPr>
            <w:r w:rsidRPr="00D46C2C">
              <w:rPr>
                <w:rFonts w:eastAsia="Times New Roman" w:cs="Arial"/>
              </w:rPr>
              <w:t xml:space="preserve">Unless otherwise provided, or disposed of during course of BK, confirmation of plan vests property back in Debtor.   </w:t>
            </w:r>
            <w:hyperlink r:id="rId40" w:history="1">
              <w:r w:rsidRPr="00D46C2C">
                <w:rPr>
                  <w:rFonts w:eastAsia="Times New Roman" w:cs="Arial"/>
                </w:rPr>
                <w:t>11 USC 1327</w:t>
              </w:r>
            </w:hyperlink>
            <w:r w:rsidRPr="00D46C2C">
              <w:rPr>
                <w:rFonts w:eastAsia="Times New Roman" w:cs="Arial"/>
              </w:rPr>
              <w:t>(b)</w:t>
            </w:r>
          </w:p>
          <w:p w:rsidR="002E2D13" w:rsidRPr="00D46C2C" w:rsidRDefault="002E2D13" w:rsidP="001E50B0">
            <w:pPr>
              <w:pStyle w:val="ListParagraph"/>
              <w:numPr>
                <w:ilvl w:val="3"/>
                <w:numId w:val="1"/>
              </w:numPr>
              <w:ind w:left="313" w:hanging="270"/>
              <w:rPr>
                <w:rFonts w:eastAsia="Times New Roman" w:cs="Arial"/>
              </w:rPr>
            </w:pPr>
            <w:r w:rsidRPr="00D46C2C">
              <w:rPr>
                <w:rFonts w:eastAsia="Times New Roman" w:cs="Arial"/>
              </w:rPr>
              <w:t xml:space="preserve">Except as provided in the plan or in the order confirming the plan, the property (re)vesting in the debtor is free and clear of any claim or interest </w:t>
            </w:r>
            <w:r w:rsidRPr="00D46C2C">
              <w:rPr>
                <w:rFonts w:eastAsia="Times New Roman" w:cs="Arial"/>
                <w:u w:val="single"/>
              </w:rPr>
              <w:t>of any creditor provided for by the plan</w:t>
            </w:r>
            <w:r w:rsidRPr="00D46C2C">
              <w:rPr>
                <w:rFonts w:eastAsia="Times New Roman" w:cs="Arial"/>
              </w:rPr>
              <w:t xml:space="preserve">. </w:t>
            </w:r>
            <w:hyperlink r:id="rId41" w:history="1">
              <w:r w:rsidRPr="00D46C2C">
                <w:rPr>
                  <w:rStyle w:val="Hyperlink"/>
                  <w:rFonts w:cs="Arial"/>
                </w:rPr>
                <w:t>11 USC 1327</w:t>
              </w:r>
            </w:hyperlink>
            <w:r w:rsidRPr="00D46C2C">
              <w:rPr>
                <w:rFonts w:eastAsia="Times New Roman" w:cs="Arial"/>
              </w:rPr>
              <w:t>(c)</w:t>
            </w:r>
          </w:p>
          <w:p w:rsidR="002E2D13" w:rsidRPr="00D46C2C" w:rsidRDefault="002E2D13" w:rsidP="001E50B0">
            <w:pPr>
              <w:pStyle w:val="ListParagraph"/>
              <w:numPr>
                <w:ilvl w:val="3"/>
                <w:numId w:val="1"/>
              </w:numPr>
              <w:ind w:left="313" w:hanging="270"/>
              <w:rPr>
                <w:rFonts w:eastAsia="Times New Roman" w:cs="Arial"/>
              </w:rPr>
            </w:pPr>
            <w:r w:rsidRPr="00D46C2C">
              <w:rPr>
                <w:rFonts w:eastAsia="Times New Roman" w:cs="Arial"/>
              </w:rPr>
              <w:lastRenderedPageBreak/>
              <w:t xml:space="preserve">Debtor remains in possession of all property of estate unless plan provides otherwise.  </w:t>
            </w:r>
            <w:hyperlink r:id="rId42" w:history="1">
              <w:r w:rsidRPr="00D46C2C">
                <w:rPr>
                  <w:rStyle w:val="Hyperlink"/>
                  <w:rFonts w:eastAsia="Times New Roman" w:cs="Arial"/>
                </w:rPr>
                <w:t>11 USC 1306</w:t>
              </w:r>
            </w:hyperlink>
            <w:r w:rsidRPr="00D46C2C">
              <w:rPr>
                <w:rFonts w:eastAsia="Times New Roman" w:cs="Arial"/>
              </w:rPr>
              <w:t xml:space="preserve">(b) </w:t>
            </w:r>
            <w:proofErr w:type="gramStart"/>
            <w:r w:rsidRPr="00D46C2C">
              <w:rPr>
                <w:rFonts w:eastAsia="Times New Roman" w:cs="Arial"/>
              </w:rPr>
              <w:t>During</w:t>
            </w:r>
            <w:proofErr w:type="gramEnd"/>
            <w:r w:rsidRPr="00D46C2C">
              <w:rPr>
                <w:rFonts w:eastAsia="Times New Roman" w:cs="Arial"/>
              </w:rPr>
              <w:t xml:space="preserve"> term of plan any sale, purchase or mortgage should be approved by the BK court. </w:t>
            </w:r>
          </w:p>
          <w:p w:rsidR="002E2D13" w:rsidRPr="00D46C2C" w:rsidRDefault="002E2D13" w:rsidP="001E50B0">
            <w:pPr>
              <w:pStyle w:val="ListParagraph"/>
              <w:numPr>
                <w:ilvl w:val="3"/>
                <w:numId w:val="1"/>
              </w:numPr>
              <w:ind w:left="313" w:hanging="270"/>
              <w:rPr>
                <w:rFonts w:eastAsia="Times New Roman" w:cs="Arial"/>
              </w:rPr>
            </w:pPr>
            <w:r w:rsidRPr="00D46C2C">
              <w:rPr>
                <w:rFonts w:eastAsia="Times New Roman" w:cs="Arial"/>
              </w:rPr>
              <w:t>While the plan remains open, don’t rely on provisions stripping liens or discharging debts unless expressly stated in plan</w:t>
            </w:r>
          </w:p>
          <w:p w:rsidR="002E2D13" w:rsidRPr="00D46C2C" w:rsidRDefault="002E2D13" w:rsidP="001E50B0">
            <w:pPr>
              <w:pStyle w:val="ListParagraph"/>
              <w:numPr>
                <w:ilvl w:val="3"/>
                <w:numId w:val="1"/>
              </w:numPr>
              <w:ind w:left="313" w:hanging="270"/>
              <w:rPr>
                <w:rFonts w:cs="Arial"/>
              </w:rPr>
            </w:pPr>
            <w:r w:rsidRPr="00D46C2C">
              <w:rPr>
                <w:rFonts w:eastAsia="Times New Roman" w:cs="Arial"/>
              </w:rPr>
              <w:t>Unconditional right to dismiss a chapter 13 (not a 7, 11 converted to 13), so can sell or mortgage immediately after dismissal</w:t>
            </w:r>
          </w:p>
        </w:tc>
        <w:tc>
          <w:tcPr>
            <w:tcW w:w="0" w:type="auto"/>
          </w:tcPr>
          <w:p w:rsidR="002E2D13" w:rsidRPr="00D46C2C" w:rsidRDefault="002E2D13">
            <w:pPr>
              <w:rPr>
                <w:rFonts w:cs="Arial"/>
              </w:rPr>
            </w:pPr>
            <w:r w:rsidRPr="00D46C2C">
              <w:rPr>
                <w:rFonts w:cs="Arial"/>
              </w:rPr>
              <w:lastRenderedPageBreak/>
              <w:t>As stated in Plan, or order stripping liens.</w:t>
            </w:r>
          </w:p>
          <w:p w:rsidR="002E2D13" w:rsidRPr="00D46C2C" w:rsidRDefault="002E2D13">
            <w:pPr>
              <w:rPr>
                <w:rFonts w:cs="Arial"/>
              </w:rPr>
            </w:pPr>
          </w:p>
          <w:p w:rsidR="002E2D13" w:rsidRPr="00D46C2C" w:rsidRDefault="002E2D13">
            <w:pPr>
              <w:rPr>
                <w:rFonts w:cs="Arial"/>
              </w:rPr>
            </w:pPr>
            <w:proofErr w:type="spellStart"/>
            <w:r w:rsidRPr="00D46C2C">
              <w:rPr>
                <w:rFonts w:cs="Arial"/>
              </w:rPr>
              <w:t>Ch</w:t>
            </w:r>
            <w:proofErr w:type="spellEnd"/>
            <w:r w:rsidRPr="00D46C2C">
              <w:rPr>
                <w:rFonts w:cs="Arial"/>
              </w:rPr>
              <w:t xml:space="preserve"> 13 allows court in plan to “modify the rights of holders of secured claims, </w:t>
            </w:r>
            <w:r w:rsidRPr="00D46C2C">
              <w:rPr>
                <w:rFonts w:cs="Arial"/>
                <w:u w:val="single"/>
              </w:rPr>
              <w:t>other than a claim secured only by a security interest in real property that is the debtor’s principal residence</w:t>
            </w:r>
            <w:r w:rsidRPr="00D46C2C">
              <w:rPr>
                <w:rFonts w:cs="Arial"/>
              </w:rPr>
              <w:t xml:space="preserve">, or of holders of unsecured claims, or leave unaffected the rights of holders of any class of claims.” </w:t>
            </w:r>
            <w:hyperlink r:id="rId43" w:history="1">
              <w:r w:rsidRPr="00D46C2C">
                <w:rPr>
                  <w:rStyle w:val="Hyperlink"/>
                  <w:rFonts w:cs="Arial"/>
                </w:rPr>
                <w:t>11 USC 1322</w:t>
              </w:r>
            </w:hyperlink>
            <w:r w:rsidRPr="00D46C2C">
              <w:rPr>
                <w:rFonts w:cs="Arial"/>
              </w:rPr>
              <w:t xml:space="preserve">(b)(2) </w:t>
            </w:r>
          </w:p>
          <w:p w:rsidR="002E2D13" w:rsidRPr="00D46C2C" w:rsidRDefault="002E2D13">
            <w:pPr>
              <w:rPr>
                <w:rFonts w:cs="Arial"/>
              </w:rPr>
            </w:pPr>
          </w:p>
          <w:p w:rsidR="002E2D13" w:rsidRPr="00D46C2C" w:rsidRDefault="002E2D13">
            <w:pPr>
              <w:rPr>
                <w:rFonts w:cs="Arial"/>
              </w:rPr>
            </w:pPr>
            <w:r w:rsidRPr="00D46C2C">
              <w:rPr>
                <w:rFonts w:cs="Arial"/>
              </w:rPr>
              <w:t xml:space="preserve">Split of authority to strip liens on </w:t>
            </w:r>
            <w:r w:rsidR="00A86152">
              <w:rPr>
                <w:rFonts w:cs="Arial"/>
              </w:rPr>
              <w:t xml:space="preserve">underwater </w:t>
            </w:r>
            <w:r w:rsidRPr="00D46C2C">
              <w:rPr>
                <w:rFonts w:cs="Arial"/>
              </w:rPr>
              <w:t>second mortgages on homestead.   3</w:t>
            </w:r>
            <w:r w:rsidRPr="00D46C2C">
              <w:rPr>
                <w:rFonts w:cs="Arial"/>
                <w:vertAlign w:val="superscript"/>
              </w:rPr>
              <w:t>rd</w:t>
            </w:r>
            <w:r w:rsidRPr="00D46C2C">
              <w:rPr>
                <w:rFonts w:cs="Arial"/>
              </w:rPr>
              <w:t xml:space="preserve"> 5</w:t>
            </w:r>
            <w:r w:rsidRPr="00D46C2C">
              <w:rPr>
                <w:rFonts w:cs="Arial"/>
                <w:vertAlign w:val="superscript"/>
              </w:rPr>
              <w:t>th</w:t>
            </w:r>
            <w:r w:rsidRPr="00D46C2C">
              <w:rPr>
                <w:rFonts w:cs="Arial"/>
              </w:rPr>
              <w:t xml:space="preserve"> &amp; 11</w:t>
            </w:r>
            <w:r w:rsidRPr="00D46C2C">
              <w:rPr>
                <w:rFonts w:cs="Arial"/>
                <w:vertAlign w:val="superscript"/>
              </w:rPr>
              <w:t>th</w:t>
            </w:r>
            <w:r w:rsidRPr="00D46C2C">
              <w:rPr>
                <w:rFonts w:cs="Arial"/>
              </w:rPr>
              <w:t xml:space="preserve"> Circuits permit.  Research needed </w:t>
            </w:r>
          </w:p>
          <w:p w:rsidR="002E2D13" w:rsidRPr="00D46C2C" w:rsidRDefault="002E2D13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2E2D13" w:rsidRPr="00D46C2C" w:rsidRDefault="00A86152">
            <w:pPr>
              <w:rPr>
                <w:rFonts w:cs="Arial"/>
              </w:rPr>
            </w:pPr>
            <w:r w:rsidRPr="00D46C2C">
              <w:rPr>
                <w:rFonts w:cs="Arial"/>
              </w:rPr>
              <w:t>Asset removed from BK Estate</w:t>
            </w:r>
            <w:r>
              <w:rPr>
                <w:rFonts w:cs="Arial"/>
              </w:rPr>
              <w:t xml:space="preserve"> and is no longer “property of the debtor” </w:t>
            </w:r>
            <w:hyperlink r:id="rId44" w:history="1">
              <w:r w:rsidRPr="005959E9">
                <w:rPr>
                  <w:rStyle w:val="Hyperlink"/>
                  <w:rFonts w:cs="Arial"/>
                </w:rPr>
                <w:t>11 USC 362</w:t>
              </w:r>
            </w:hyperlink>
            <w:r>
              <w:rPr>
                <w:rFonts w:cs="Arial"/>
              </w:rPr>
              <w:t>(a</w:t>
            </w:r>
            <w:proofErr w:type="gramStart"/>
            <w:r>
              <w:rPr>
                <w:rFonts w:cs="Arial"/>
              </w:rPr>
              <w:t>)(</w:t>
            </w:r>
            <w:proofErr w:type="gramEnd"/>
            <w:r>
              <w:rPr>
                <w:rFonts w:cs="Arial"/>
              </w:rPr>
              <w:t xml:space="preserve">5) </w:t>
            </w:r>
            <w:r w:rsidRPr="00D46C2C">
              <w:rPr>
                <w:rFonts w:cs="Arial"/>
              </w:rPr>
              <w:t xml:space="preserve">, so stay doesn’t affect </w:t>
            </w:r>
            <w:r>
              <w:rPr>
                <w:rFonts w:cs="Arial"/>
              </w:rPr>
              <w:t>pursuit of liens against new owner.</w:t>
            </w:r>
          </w:p>
        </w:tc>
      </w:tr>
      <w:tr w:rsidR="002E2D13" w:rsidRPr="00D46C2C" w:rsidTr="002E2D13">
        <w:tc>
          <w:tcPr>
            <w:tcW w:w="0" w:type="auto"/>
            <w:vMerge/>
          </w:tcPr>
          <w:p w:rsidR="002E2D13" w:rsidRPr="00D46C2C" w:rsidRDefault="002E2D13">
            <w:pPr>
              <w:rPr>
                <w:rFonts w:cs="Arial"/>
              </w:rPr>
            </w:pPr>
          </w:p>
        </w:tc>
        <w:tc>
          <w:tcPr>
            <w:tcW w:w="3996" w:type="dxa"/>
          </w:tcPr>
          <w:p w:rsidR="002E2D13" w:rsidRPr="00D46C2C" w:rsidRDefault="002E2D13" w:rsidP="009B44D2">
            <w:pPr>
              <w:rPr>
                <w:rFonts w:cs="Arial"/>
              </w:rPr>
            </w:pPr>
            <w:r w:rsidRPr="009B44D2">
              <w:rPr>
                <w:rFonts w:cs="Arial"/>
                <w:b/>
              </w:rPr>
              <w:t>Unscheduled Assets</w:t>
            </w:r>
            <w:r w:rsidRPr="00D46C2C">
              <w:rPr>
                <w:rFonts w:cs="Arial"/>
              </w:rPr>
              <w:t xml:space="preserve"> never come out of BK Estate</w:t>
            </w:r>
            <w:r w:rsidRPr="002D15BE">
              <w:rPr>
                <w:rFonts w:cs="Arial"/>
              </w:rPr>
              <w:t>, and the case must be reopened and</w:t>
            </w:r>
            <w:r>
              <w:rPr>
                <w:rFonts w:cs="Arial"/>
              </w:rPr>
              <w:t xml:space="preserve"> </w:t>
            </w:r>
            <w:r w:rsidRPr="002D15BE">
              <w:rPr>
                <w:rFonts w:cs="Arial"/>
              </w:rPr>
              <w:t xml:space="preserve">the property must </w:t>
            </w:r>
            <w:r w:rsidR="00A86152">
              <w:rPr>
                <w:rFonts w:cs="Arial"/>
              </w:rPr>
              <w:t xml:space="preserve">be scheduled and administered.  </w:t>
            </w:r>
            <w:r w:rsidRPr="002D15BE">
              <w:rPr>
                <w:rFonts w:cs="Arial"/>
              </w:rPr>
              <w:t>In re Dunning Bros. Co., 40 B.R.877 (Bankr.E.D.Cal.2009)</w:t>
            </w:r>
            <w:r>
              <w:rPr>
                <w:rFonts w:cs="Arial"/>
              </w:rPr>
              <w:t xml:space="preserve"> Here, t</w:t>
            </w:r>
            <w:r w:rsidRPr="002D15BE">
              <w:rPr>
                <w:rFonts w:cs="Arial"/>
              </w:rPr>
              <w:t>he case was reopened after 70 years to administer/sell clear title to real estate.</w:t>
            </w:r>
          </w:p>
        </w:tc>
        <w:tc>
          <w:tcPr>
            <w:tcW w:w="0" w:type="auto"/>
          </w:tcPr>
          <w:p w:rsidR="002E2D13" w:rsidRPr="00D46C2C" w:rsidRDefault="002E2D13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2E2D13" w:rsidRPr="00D46C2C" w:rsidRDefault="002E2D13">
            <w:pPr>
              <w:rPr>
                <w:rFonts w:cs="Arial"/>
              </w:rPr>
            </w:pPr>
          </w:p>
        </w:tc>
      </w:tr>
    </w:tbl>
    <w:p w:rsidR="00DE4657" w:rsidRDefault="00DE4657">
      <w:pPr>
        <w:rPr>
          <w:rFonts w:cs="Arial"/>
        </w:rPr>
      </w:pPr>
    </w:p>
    <w:p w:rsidR="00A86152" w:rsidRDefault="00A86152">
      <w:pPr>
        <w:rPr>
          <w:rFonts w:cs="Arial"/>
        </w:rPr>
      </w:pPr>
    </w:p>
    <w:p w:rsidR="00A86152" w:rsidRPr="00D46C2C" w:rsidRDefault="00A86152">
      <w:pPr>
        <w:rPr>
          <w:rFonts w:cs="Arial"/>
        </w:rPr>
      </w:pPr>
      <w:r>
        <w:rPr>
          <w:rFonts w:cs="Arial"/>
        </w:rPr>
        <w:t>Rev 4/7/21</w:t>
      </w:r>
      <w:bookmarkStart w:id="2" w:name="_GoBack"/>
      <w:bookmarkEnd w:id="2"/>
    </w:p>
    <w:sectPr w:rsidR="00A86152" w:rsidRPr="00D46C2C" w:rsidSect="00F0740B">
      <w:pgSz w:w="20160" w:h="12240" w:orient="landscape" w:code="5"/>
      <w:pgMar w:top="720" w:right="720" w:bottom="720" w:left="720" w:header="720" w:footer="720" w:gutter="0"/>
      <w:cols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A141D"/>
    <w:multiLevelType w:val="hybridMultilevel"/>
    <w:tmpl w:val="8EF83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D71FE"/>
    <w:multiLevelType w:val="hybridMultilevel"/>
    <w:tmpl w:val="83BC4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0B"/>
    <w:rsid w:val="00021456"/>
    <w:rsid w:val="0008244A"/>
    <w:rsid w:val="0014000B"/>
    <w:rsid w:val="001E50B0"/>
    <w:rsid w:val="0023349A"/>
    <w:rsid w:val="002D15BE"/>
    <w:rsid w:val="002E2D13"/>
    <w:rsid w:val="00307B69"/>
    <w:rsid w:val="003A35DE"/>
    <w:rsid w:val="003D3C29"/>
    <w:rsid w:val="00494AC3"/>
    <w:rsid w:val="00497B07"/>
    <w:rsid w:val="005959E9"/>
    <w:rsid w:val="005A66D3"/>
    <w:rsid w:val="00617CF6"/>
    <w:rsid w:val="006A1EE5"/>
    <w:rsid w:val="009174AE"/>
    <w:rsid w:val="009B44D2"/>
    <w:rsid w:val="00A86152"/>
    <w:rsid w:val="00B1070C"/>
    <w:rsid w:val="00BB250C"/>
    <w:rsid w:val="00BC6639"/>
    <w:rsid w:val="00C953FD"/>
    <w:rsid w:val="00CD5785"/>
    <w:rsid w:val="00D46C2C"/>
    <w:rsid w:val="00DE4657"/>
    <w:rsid w:val="00E60CA5"/>
    <w:rsid w:val="00E93F7B"/>
    <w:rsid w:val="00EB76AD"/>
    <w:rsid w:val="00F0740B"/>
    <w:rsid w:val="00F71CEC"/>
    <w:rsid w:val="00F9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9339E"/>
  <w15:chartTrackingRefBased/>
  <w15:docId w15:val="{0156DDD8-F2CC-49B2-95E5-52593464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74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740B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8244A"/>
  </w:style>
  <w:style w:type="character" w:customStyle="1" w:styleId="num">
    <w:name w:val="num"/>
    <w:basedOn w:val="DefaultParagraphFont"/>
    <w:rsid w:val="00BC6639"/>
  </w:style>
  <w:style w:type="character" w:styleId="FollowedHyperlink">
    <w:name w:val="FollowedHyperlink"/>
    <w:basedOn w:val="DefaultParagraphFont"/>
    <w:uiPriority w:val="99"/>
    <w:semiHidden/>
    <w:unhideWhenUsed/>
    <w:rsid w:val="00E93F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8418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25301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79087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63931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3750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8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cornell.edu/uscode/text/11/1306" TargetMode="External"/><Relationship Id="rId13" Type="http://schemas.openxmlformats.org/officeDocument/2006/relationships/hyperlink" Target="https://www.law.cornell.edu/rules/frbp/rule_4003" TargetMode="External"/><Relationship Id="rId18" Type="http://schemas.openxmlformats.org/officeDocument/2006/relationships/hyperlink" Target="https://www.law.cornell.edu/uscode/text/11/362" TargetMode="External"/><Relationship Id="rId26" Type="http://schemas.openxmlformats.org/officeDocument/2006/relationships/hyperlink" Target="https://www.law.cornell.edu/uscode/text/11/362" TargetMode="External"/><Relationship Id="rId39" Type="http://schemas.openxmlformats.org/officeDocument/2006/relationships/hyperlink" Target="https://www.law.cornell.edu/uscode/text/11/13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aw.cornell.edu/uscode/text/11/362" TargetMode="External"/><Relationship Id="rId34" Type="http://schemas.openxmlformats.org/officeDocument/2006/relationships/hyperlink" Target="https://www.law.cornell.edu/uscode/text/11/363" TargetMode="External"/><Relationship Id="rId42" Type="http://schemas.openxmlformats.org/officeDocument/2006/relationships/hyperlink" Target="https://www.law.cornell.edu/uscode/text/11/1306" TargetMode="External"/><Relationship Id="rId7" Type="http://schemas.openxmlformats.org/officeDocument/2006/relationships/hyperlink" Target="https://www.law.cornell.edu/uscode/text/11/363" TargetMode="External"/><Relationship Id="rId12" Type="http://schemas.openxmlformats.org/officeDocument/2006/relationships/hyperlink" Target="https://www.law.cornell.edu/uscode/text/11/522" TargetMode="External"/><Relationship Id="rId17" Type="http://schemas.openxmlformats.org/officeDocument/2006/relationships/hyperlink" Target="https://www.law.cornell.edu/uscode/text/11/1325" TargetMode="External"/><Relationship Id="rId25" Type="http://schemas.openxmlformats.org/officeDocument/2006/relationships/hyperlink" Target="https://uww.wfgnationaltitle.com/index.php/Stripping_of_Liens_in_Bankruptcy" TargetMode="External"/><Relationship Id="rId33" Type="http://schemas.openxmlformats.org/officeDocument/2006/relationships/hyperlink" Target="https://www.law.cornell.edu/rules/frbp/rule_6004" TargetMode="External"/><Relationship Id="rId38" Type="http://schemas.openxmlformats.org/officeDocument/2006/relationships/hyperlink" Target="https://www.law.cornell.edu/uscode/text/11/362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law.cornell.edu/uscode/text/11/725" TargetMode="External"/><Relationship Id="rId20" Type="http://schemas.openxmlformats.org/officeDocument/2006/relationships/hyperlink" Target="https://www.law.cornell.edu/uscode/text/11/554" TargetMode="External"/><Relationship Id="rId29" Type="http://schemas.openxmlformats.org/officeDocument/2006/relationships/hyperlink" Target="https://www.law.cornell.edu/rules/frbp/rule_6004" TargetMode="External"/><Relationship Id="rId41" Type="http://schemas.openxmlformats.org/officeDocument/2006/relationships/hyperlink" Target="https://www.law.cornell.edu/uscode/text/11/132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aw.cornell.edu/uscode/text/11/541" TargetMode="External"/><Relationship Id="rId11" Type="http://schemas.openxmlformats.org/officeDocument/2006/relationships/hyperlink" Target="https://www.law.cornell.edu/uscode/text/11/548" TargetMode="External"/><Relationship Id="rId24" Type="http://schemas.openxmlformats.org/officeDocument/2006/relationships/hyperlink" Target="https://www.law.cornell.edu/rules/frbp/rule_6004" TargetMode="External"/><Relationship Id="rId32" Type="http://schemas.openxmlformats.org/officeDocument/2006/relationships/hyperlink" Target="https://www.law.cornell.edu/rules/frbp/rule_2002" TargetMode="External"/><Relationship Id="rId37" Type="http://schemas.openxmlformats.org/officeDocument/2006/relationships/hyperlink" Target="https://www.law.cornell.edu/uscode/text/11/1141" TargetMode="External"/><Relationship Id="rId40" Type="http://schemas.openxmlformats.org/officeDocument/2006/relationships/hyperlink" Target="https://www.law.cornell.edu/uscode/text/11/1327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law.cornell.edu/uscode/text/11/541" TargetMode="External"/><Relationship Id="rId15" Type="http://schemas.openxmlformats.org/officeDocument/2006/relationships/hyperlink" Target="https://www.law.cornell.edu/uscode/text/11/554" TargetMode="External"/><Relationship Id="rId23" Type="http://schemas.openxmlformats.org/officeDocument/2006/relationships/hyperlink" Target="https://www.law.cornell.edu/rules/frbp/rule_2002" TargetMode="External"/><Relationship Id="rId28" Type="http://schemas.openxmlformats.org/officeDocument/2006/relationships/hyperlink" Target="https://www.law.cornell.edu/rules/frbp/rule_2002" TargetMode="External"/><Relationship Id="rId36" Type="http://schemas.openxmlformats.org/officeDocument/2006/relationships/hyperlink" Target="https://www.law.cornell.edu/uscode/text/11/362" TargetMode="External"/><Relationship Id="rId10" Type="http://schemas.openxmlformats.org/officeDocument/2006/relationships/hyperlink" Target="https://www.law.cornell.edu/uscode/text/11/547" TargetMode="External"/><Relationship Id="rId19" Type="http://schemas.openxmlformats.org/officeDocument/2006/relationships/hyperlink" Target="https://www.law.cornell.edu/uscode/text/11/362" TargetMode="External"/><Relationship Id="rId31" Type="http://schemas.openxmlformats.org/officeDocument/2006/relationships/hyperlink" Target="https://www.law.cornell.edu/uscode/text/11/363" TargetMode="External"/><Relationship Id="rId44" Type="http://schemas.openxmlformats.org/officeDocument/2006/relationships/hyperlink" Target="https://www.law.cornell.edu/uscode/text/11/3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ww.wfgnationaltitle.com/index.php/After_Acquired_Property" TargetMode="External"/><Relationship Id="rId14" Type="http://schemas.openxmlformats.org/officeDocument/2006/relationships/hyperlink" Target="https://www.law.cornell.edu/uscode/text/11/522" TargetMode="External"/><Relationship Id="rId22" Type="http://schemas.openxmlformats.org/officeDocument/2006/relationships/hyperlink" Target="https://www.law.cornell.edu/uscode/text/11/363" TargetMode="External"/><Relationship Id="rId27" Type="http://schemas.openxmlformats.org/officeDocument/2006/relationships/hyperlink" Target="https://www.law.cornell.edu/uscode/text/11/363" TargetMode="External"/><Relationship Id="rId30" Type="http://schemas.openxmlformats.org/officeDocument/2006/relationships/hyperlink" Target="https://www.law.cornell.edu/uscode/text/11/362" TargetMode="External"/><Relationship Id="rId35" Type="http://schemas.openxmlformats.org/officeDocument/2006/relationships/hyperlink" Target="https://casetext.com/case/bank-of-am-na-v-david-b-caulkettbank-of-am-na" TargetMode="External"/><Relationship Id="rId43" Type="http://schemas.openxmlformats.org/officeDocument/2006/relationships/hyperlink" Target="https://www.law.cornell.edu/uscode/text/11/1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Fields</dc:creator>
  <cp:keywords/>
  <dc:description/>
  <cp:lastModifiedBy>Alan Fields</cp:lastModifiedBy>
  <cp:revision>22</cp:revision>
  <dcterms:created xsi:type="dcterms:W3CDTF">2017-06-11T17:56:00Z</dcterms:created>
  <dcterms:modified xsi:type="dcterms:W3CDTF">2021-04-07T15:16:00Z</dcterms:modified>
</cp:coreProperties>
</file>