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7D" w:rsidRDefault="001D347D">
      <w:pPr>
        <w:rPr>
          <w:rFonts w:ascii="Georgia" w:eastAsia="Times New Roman" w:hAnsi="Georgia" w:cs="Times New Roman"/>
          <w:color w:val="212121"/>
          <w:sz w:val="21"/>
          <w:szCs w:val="21"/>
        </w:rPr>
      </w:pPr>
      <w:r>
        <w:rPr>
          <w:rFonts w:ascii="Georgia" w:eastAsia="Times New Roman" w:hAnsi="Georgia" w:cs="Times New Roman"/>
          <w:color w:val="212121"/>
          <w:sz w:val="21"/>
          <w:szCs w:val="21"/>
        </w:rPr>
        <w:t>National Association of State Attorneys has appointed a Remote Notarization Task Force April 2016</w:t>
      </w:r>
    </w:p>
    <w:p w:rsidR="001D347D" w:rsidRDefault="00922FE5">
      <w:pPr>
        <w:rPr>
          <w:rFonts w:ascii="Georgia" w:eastAsia="Times New Roman" w:hAnsi="Georgia" w:cs="Times New Roman"/>
          <w:color w:val="212121"/>
          <w:sz w:val="21"/>
          <w:szCs w:val="21"/>
        </w:rPr>
      </w:pPr>
      <w:hyperlink r:id="rId5" w:history="1">
        <w:r w:rsidR="001D347D" w:rsidRPr="00CF1C9F">
          <w:rPr>
            <w:rStyle w:val="Hyperlink"/>
            <w:rFonts w:ascii="Georgia" w:eastAsia="Times New Roman" w:hAnsi="Georgia" w:cs="Times New Roman"/>
            <w:sz w:val="21"/>
            <w:szCs w:val="21"/>
          </w:rPr>
          <w:t>http://www.nass.org/nass-initiatives/nass-remote</w:t>
        </w:r>
        <w:r w:rsidR="001D347D" w:rsidRPr="00CF1C9F">
          <w:rPr>
            <w:rStyle w:val="Hyperlink"/>
            <w:rFonts w:ascii="Georgia" w:eastAsia="Times New Roman" w:hAnsi="Georgia" w:cs="Times New Roman"/>
            <w:sz w:val="21"/>
            <w:szCs w:val="21"/>
          </w:rPr>
          <w:t>-</w:t>
        </w:r>
        <w:r w:rsidR="001D347D" w:rsidRPr="00CF1C9F">
          <w:rPr>
            <w:rStyle w:val="Hyperlink"/>
            <w:rFonts w:ascii="Georgia" w:eastAsia="Times New Roman" w:hAnsi="Georgia" w:cs="Times New Roman"/>
            <w:sz w:val="21"/>
            <w:szCs w:val="21"/>
          </w:rPr>
          <w:t>notarization-task-force/</w:t>
        </w:r>
      </w:hyperlink>
    </w:p>
    <w:p w:rsidR="001D347D" w:rsidRDefault="001D347D">
      <w:pPr>
        <w:rPr>
          <w:rFonts w:ascii="Georgia" w:eastAsia="Times New Roman" w:hAnsi="Georgia" w:cs="Times New Roman"/>
          <w:color w:val="212121"/>
          <w:sz w:val="21"/>
          <w:szCs w:val="21"/>
        </w:rPr>
      </w:pPr>
    </w:p>
    <w:p w:rsidR="001D347D" w:rsidRDefault="003007A0">
      <w:pPr>
        <w:rPr>
          <w:rFonts w:ascii="Georgia" w:eastAsia="Times New Roman" w:hAnsi="Georgia" w:cs="Times New Roman"/>
          <w:color w:val="212121"/>
          <w:sz w:val="21"/>
          <w:szCs w:val="21"/>
        </w:rPr>
      </w:pPr>
      <w:r>
        <w:rPr>
          <w:rFonts w:ascii="Georgia" w:eastAsia="Times New Roman" w:hAnsi="Georgia" w:cs="Times New Roman"/>
          <w:color w:val="212121"/>
          <w:sz w:val="21"/>
          <w:szCs w:val="21"/>
        </w:rPr>
        <w:t xml:space="preserve">Issue about whether the out of wallet verifications are compliant with the Federal Bridge Certification Authority Standards.   </w:t>
      </w:r>
    </w:p>
    <w:p w:rsidR="001D347D" w:rsidRDefault="001D347D">
      <w:pPr>
        <w:rPr>
          <w:rFonts w:ascii="Georgia" w:eastAsia="Times New Roman" w:hAnsi="Georgia" w:cs="Times New Roman"/>
          <w:color w:val="212121"/>
          <w:sz w:val="21"/>
          <w:szCs w:val="21"/>
        </w:rPr>
      </w:pPr>
    </w:p>
    <w:p w:rsidR="001D347D" w:rsidRDefault="001D347D">
      <w:pPr>
        <w:rPr>
          <w:rFonts w:ascii="Georgia" w:eastAsia="Times New Roman" w:hAnsi="Georgia" w:cs="Times New Roman"/>
          <w:color w:val="212121"/>
          <w:sz w:val="21"/>
          <w:szCs w:val="21"/>
        </w:rPr>
      </w:pPr>
      <w:r>
        <w:rPr>
          <w:rFonts w:ascii="Georgia" w:eastAsia="Times New Roman" w:hAnsi="Georgia" w:cs="Times New Roman"/>
          <w:color w:val="212121"/>
          <w:sz w:val="21"/>
          <w:szCs w:val="21"/>
        </w:rPr>
        <w:br w:type="page"/>
      </w:r>
    </w:p>
    <w:p w:rsidR="001D347D" w:rsidRDefault="001D347D" w:rsidP="001D347D">
      <w:pPr>
        <w:spacing w:after="0" w:line="315" w:lineRule="atLeast"/>
        <w:jc w:val="center"/>
        <w:rPr>
          <w:rFonts w:ascii="Georgia" w:eastAsia="Times New Roman" w:hAnsi="Georgia" w:cs="Times New Roman"/>
          <w:color w:val="212121"/>
          <w:sz w:val="21"/>
          <w:szCs w:val="21"/>
        </w:rPr>
      </w:pPr>
    </w:p>
    <w:p w:rsidR="001D347D" w:rsidRDefault="001D347D" w:rsidP="001D347D">
      <w:pPr>
        <w:spacing w:after="0" w:line="315" w:lineRule="atLeast"/>
        <w:jc w:val="center"/>
        <w:rPr>
          <w:rFonts w:ascii="Georgia" w:eastAsia="Times New Roman" w:hAnsi="Georgia" w:cs="Times New Roman"/>
          <w:color w:val="212121"/>
          <w:sz w:val="21"/>
          <w:szCs w:val="21"/>
        </w:rPr>
      </w:pPr>
    </w:p>
    <w:p w:rsidR="001D347D" w:rsidRDefault="001D347D" w:rsidP="001D347D">
      <w:pPr>
        <w:spacing w:after="0" w:line="315" w:lineRule="atLeast"/>
        <w:jc w:val="center"/>
        <w:rPr>
          <w:rFonts w:ascii="Georgia" w:eastAsia="Times New Roman" w:hAnsi="Georgia" w:cs="Times New Roman"/>
          <w:color w:val="212121"/>
          <w:sz w:val="21"/>
          <w:szCs w:val="21"/>
        </w:rPr>
      </w:pPr>
    </w:p>
    <w:p w:rsidR="001D347D" w:rsidRPr="001D347D" w:rsidRDefault="001D347D" w:rsidP="001D347D">
      <w:pPr>
        <w:spacing w:after="0" w:line="315" w:lineRule="atLeast"/>
        <w:jc w:val="center"/>
        <w:rPr>
          <w:rFonts w:ascii="Georgia" w:eastAsia="Times New Roman" w:hAnsi="Georgia" w:cs="Times New Roman"/>
          <w:color w:val="212121"/>
          <w:sz w:val="21"/>
          <w:szCs w:val="21"/>
        </w:rPr>
      </w:pPr>
      <w:r w:rsidRPr="001D347D">
        <w:rPr>
          <w:rFonts w:ascii="Georgia" w:eastAsia="Times New Roman" w:hAnsi="Georgia" w:cs="Times New Roman"/>
          <w:color w:val="212121"/>
          <w:sz w:val="21"/>
          <w:szCs w:val="21"/>
        </w:rPr>
        <w:t>U.S.C.A. Const. Art. IV § 1</w:t>
      </w:r>
    </w:p>
    <w:p w:rsidR="001D347D" w:rsidRPr="001D347D" w:rsidRDefault="001D347D" w:rsidP="001D347D">
      <w:pPr>
        <w:spacing w:line="360" w:lineRule="atLeast"/>
        <w:jc w:val="center"/>
        <w:rPr>
          <w:rFonts w:ascii="Georgia" w:eastAsia="Times New Roman" w:hAnsi="Georgia" w:cs="Times New Roman"/>
          <w:color w:val="252525"/>
          <w:sz w:val="25"/>
          <w:szCs w:val="25"/>
        </w:rPr>
      </w:pPr>
      <w:proofErr w:type="gramStart"/>
      <w:r w:rsidRPr="001D347D">
        <w:rPr>
          <w:rFonts w:ascii="Georgia" w:eastAsia="Times New Roman" w:hAnsi="Georgia" w:cs="Times New Roman"/>
          <w:color w:val="252525"/>
          <w:sz w:val="25"/>
          <w:szCs w:val="25"/>
        </w:rPr>
        <w:t>Section 1.</w:t>
      </w:r>
      <w:proofErr w:type="gramEnd"/>
      <w:r w:rsidRPr="001D347D">
        <w:rPr>
          <w:rFonts w:ascii="Georgia" w:eastAsia="Times New Roman" w:hAnsi="Georgia" w:cs="Times New Roman"/>
          <w:color w:val="252525"/>
          <w:sz w:val="25"/>
          <w:szCs w:val="25"/>
        </w:rPr>
        <w:t xml:space="preserve"> Full Faith and Credit</w:t>
      </w:r>
    </w:p>
    <w:p w:rsidR="001D347D" w:rsidRPr="001D347D" w:rsidRDefault="001D347D" w:rsidP="001D347D">
      <w:pPr>
        <w:spacing w:after="0" w:line="315" w:lineRule="atLeast"/>
        <w:rPr>
          <w:rFonts w:ascii="Arial" w:eastAsia="Times New Roman" w:hAnsi="Arial" w:cs="Arial"/>
          <w:color w:val="212121"/>
          <w:sz w:val="21"/>
          <w:szCs w:val="21"/>
        </w:rPr>
      </w:pPr>
      <w:proofErr w:type="gramStart"/>
      <w:r w:rsidRPr="001D347D">
        <w:rPr>
          <w:rFonts w:ascii="Arial" w:eastAsia="Times New Roman" w:hAnsi="Arial" w:cs="Arial"/>
          <w:b/>
          <w:bCs/>
          <w:color w:val="212121"/>
          <w:sz w:val="21"/>
          <w:szCs w:val="21"/>
        </w:rPr>
        <w:t>Section 1.</w:t>
      </w:r>
      <w:proofErr w:type="gramEnd"/>
      <w:r w:rsidRPr="001D347D">
        <w:rPr>
          <w:rFonts w:ascii="Arial" w:eastAsia="Times New Roman" w:hAnsi="Arial" w:cs="Arial"/>
          <w:color w:val="212121"/>
          <w:sz w:val="21"/>
          <w:szCs w:val="21"/>
        </w:rPr>
        <w:t> Full Faith and Credit shall be given in each State to the public Acts, Records, and judicial Proceedings of every other State. And the Congress may by general Laws prescribe the Manner in which such Acts, Records and Proceedings shall be proved, and the Effect thereof.</w:t>
      </w: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r>
        <w:rPr>
          <w:rFonts w:ascii="Arial" w:hAnsi="Arial" w:cs="Arial"/>
          <w:color w:val="212121"/>
          <w:sz w:val="18"/>
          <w:szCs w:val="18"/>
        </w:rPr>
        <w:t xml:space="preserve">This clause does not insure unlimited extraterritorial recognition of all statutes or of any statute under all circumstances. </w:t>
      </w:r>
      <w:r>
        <w:rPr>
          <w:rFonts w:ascii="Arial" w:hAnsi="Arial" w:cs="Arial"/>
          <w:color w:val="212121"/>
          <w:sz w:val="18"/>
          <w:szCs w:val="18"/>
        </w:rPr>
        <w:t> </w:t>
      </w:r>
      <w:hyperlink r:id="rId6" w:tooltip="Yellow Cab Transit Co. v. Overcash, C.C.A.8 (Mo.) 1942, 133 F.2d 228" w:history="1">
        <w:r>
          <w:rPr>
            <w:rStyle w:val="Hyperlink"/>
            <w:rFonts w:ascii="Arial" w:hAnsi="Arial" w:cs="Arial"/>
            <w:color w:val="145DA4"/>
            <w:sz w:val="18"/>
            <w:szCs w:val="18"/>
            <w:u w:val="none"/>
          </w:rPr>
          <w:t xml:space="preserve">Yellow Cab Transit Co. v. </w:t>
        </w:r>
        <w:proofErr w:type="spellStart"/>
        <w:r>
          <w:rPr>
            <w:rStyle w:val="Hyperlink"/>
            <w:rFonts w:ascii="Arial" w:hAnsi="Arial" w:cs="Arial"/>
            <w:color w:val="145DA4"/>
            <w:sz w:val="18"/>
            <w:szCs w:val="18"/>
            <w:u w:val="none"/>
          </w:rPr>
          <w:t>Overcash</w:t>
        </w:r>
        <w:proofErr w:type="spellEnd"/>
        <w:r>
          <w:rPr>
            <w:rStyle w:val="Hyperlink"/>
            <w:rFonts w:ascii="Arial" w:hAnsi="Arial" w:cs="Arial"/>
            <w:color w:val="145DA4"/>
            <w:sz w:val="18"/>
            <w:szCs w:val="18"/>
            <w:u w:val="none"/>
          </w:rPr>
          <w:t xml:space="preserve">, C.C.A.8 (Mo.) 1942, </w:t>
        </w:r>
        <w:proofErr w:type="gramStart"/>
        <w:r>
          <w:rPr>
            <w:rStyle w:val="Hyperlink"/>
            <w:rFonts w:ascii="Arial" w:hAnsi="Arial" w:cs="Arial"/>
            <w:color w:val="145DA4"/>
            <w:sz w:val="18"/>
            <w:szCs w:val="18"/>
            <w:u w:val="none"/>
          </w:rPr>
          <w:t>133 F.2d 228</w:t>
        </w:r>
        <w:proofErr w:type="gramEnd"/>
      </w:hyperlink>
      <w:r>
        <w:rPr>
          <w:rFonts w:ascii="Arial" w:hAnsi="Arial" w:cs="Arial"/>
          <w:color w:val="212121"/>
          <w:sz w:val="18"/>
          <w:szCs w:val="18"/>
        </w:rPr>
        <w:t xml:space="preserve">. </w:t>
      </w:r>
      <w:r>
        <w:rPr>
          <w:rFonts w:ascii="Arial" w:hAnsi="Arial" w:cs="Arial"/>
          <w:color w:val="212121"/>
          <w:sz w:val="18"/>
          <w:szCs w:val="18"/>
        </w:rPr>
        <w:t> </w:t>
      </w:r>
      <w:r>
        <w:rPr>
          <w:rFonts w:ascii="Arial" w:hAnsi="Arial" w:cs="Arial"/>
          <w:color w:val="212121"/>
          <w:sz w:val="18"/>
          <w:szCs w:val="18"/>
        </w:rPr>
        <w:t>See, also,</w:t>
      </w:r>
      <w:r>
        <w:rPr>
          <w:rStyle w:val="apple-converted-space"/>
          <w:rFonts w:ascii="Arial" w:hAnsi="Arial" w:cs="Arial"/>
          <w:color w:val="212121"/>
          <w:sz w:val="18"/>
          <w:szCs w:val="18"/>
        </w:rPr>
        <w:t> </w:t>
      </w:r>
      <w:hyperlink r:id="rId7" w:tooltip="Klaxon Co. v. Stentor Electric Mfg. Co., Del.1941, 61 S.Ct. 1020, 313 U.S. 487, 85 L.Ed. 1477" w:history="1">
        <w:r>
          <w:rPr>
            <w:rStyle w:val="Hyperlink"/>
            <w:rFonts w:ascii="Arial" w:hAnsi="Arial" w:cs="Arial"/>
            <w:color w:val="145DA4"/>
            <w:sz w:val="18"/>
            <w:szCs w:val="18"/>
            <w:u w:val="none"/>
          </w:rPr>
          <w:t xml:space="preserve">Klaxon Co. v. Stentor Electric Mfg. Co., Del.1941, 61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1020, 313 U.S. 487, 85 </w:t>
        </w:r>
        <w:proofErr w:type="spellStart"/>
        <w:r>
          <w:rPr>
            <w:rStyle w:val="Hyperlink"/>
            <w:rFonts w:ascii="Arial" w:hAnsi="Arial" w:cs="Arial"/>
            <w:color w:val="145DA4"/>
            <w:sz w:val="18"/>
            <w:szCs w:val="18"/>
            <w:u w:val="none"/>
          </w:rPr>
          <w:t>L.Ed</w:t>
        </w:r>
        <w:proofErr w:type="spellEnd"/>
        <w:r>
          <w:rPr>
            <w:rStyle w:val="Hyperlink"/>
            <w:rFonts w:ascii="Arial" w:hAnsi="Arial" w:cs="Arial"/>
            <w:color w:val="145DA4"/>
            <w:sz w:val="18"/>
            <w:szCs w:val="18"/>
            <w:u w:val="none"/>
          </w:rPr>
          <w:t>. 1477</w:t>
        </w:r>
      </w:hyperlink>
      <w:r>
        <w:rPr>
          <w:rFonts w:ascii="Arial" w:hAnsi="Arial" w:cs="Arial"/>
          <w:color w:val="212121"/>
          <w:sz w:val="18"/>
          <w:szCs w:val="18"/>
        </w:rPr>
        <w:t>, certiorari denied</w:t>
      </w:r>
      <w:r>
        <w:rPr>
          <w:rStyle w:val="apple-converted-space"/>
          <w:rFonts w:ascii="Arial" w:hAnsi="Arial" w:cs="Arial"/>
          <w:color w:val="212121"/>
          <w:sz w:val="18"/>
          <w:szCs w:val="18"/>
        </w:rPr>
        <w:t> </w:t>
      </w:r>
      <w:hyperlink r:id="rId8" w:tooltip="62 S.Ct. 1284, 316 U.S. 685, 86 L.Ed. 1757" w:history="1">
        <w:r>
          <w:rPr>
            <w:rStyle w:val="Hyperlink"/>
            <w:rFonts w:ascii="Arial" w:hAnsi="Arial" w:cs="Arial"/>
            <w:color w:val="145DA4"/>
            <w:sz w:val="18"/>
            <w:szCs w:val="18"/>
            <w:u w:val="none"/>
          </w:rPr>
          <w:t xml:space="preserve">62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1284, 316 U.S. 685, 86 </w:t>
        </w:r>
        <w:proofErr w:type="spellStart"/>
        <w:r>
          <w:rPr>
            <w:rStyle w:val="Hyperlink"/>
            <w:rFonts w:ascii="Arial" w:hAnsi="Arial" w:cs="Arial"/>
            <w:color w:val="145DA4"/>
            <w:sz w:val="18"/>
            <w:szCs w:val="18"/>
            <w:u w:val="none"/>
          </w:rPr>
          <w:t>L.Ed</w:t>
        </w:r>
        <w:proofErr w:type="spellEnd"/>
        <w:r>
          <w:rPr>
            <w:rStyle w:val="Hyperlink"/>
            <w:rFonts w:ascii="Arial" w:hAnsi="Arial" w:cs="Arial"/>
            <w:color w:val="145DA4"/>
            <w:sz w:val="18"/>
            <w:szCs w:val="18"/>
            <w:u w:val="none"/>
          </w:rPr>
          <w:t>. 1757</w:t>
        </w:r>
      </w:hyperlink>
      <w:r>
        <w:rPr>
          <w:rFonts w:ascii="Arial" w:hAnsi="Arial" w:cs="Arial"/>
          <w:color w:val="212121"/>
          <w:sz w:val="18"/>
          <w:szCs w:val="18"/>
        </w:rPr>
        <w:t>.</w:t>
      </w:r>
      <w:hyperlink r:id="rId9" w:tooltip="States" w:history="1">
        <w:r>
          <w:rPr>
            <w:rStyle w:val="Hyperlink"/>
            <w:rFonts w:ascii="Arial" w:hAnsi="Arial" w:cs="Arial"/>
            <w:color w:val="145DA4"/>
            <w:sz w:val="18"/>
            <w:szCs w:val="18"/>
            <w:u w:val="none"/>
          </w:rPr>
          <w:t>States</w:t>
        </w:r>
      </w:hyperlink>
      <w:r>
        <w:rPr>
          <w:rFonts w:ascii="Arial" w:hAnsi="Arial" w:cs="Arial"/>
          <w:noProof/>
          <w:color w:val="212121"/>
          <w:sz w:val="18"/>
          <w:szCs w:val="18"/>
        </w:rPr>
        <w:drawing>
          <wp:inline distT="0" distB="0" distL="0" distR="0">
            <wp:extent cx="153035" cy="78740"/>
            <wp:effectExtent l="0" t="0" r="0" b="0"/>
            <wp:docPr id="3" name="Picture 3"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78740"/>
                    </a:xfrm>
                    <a:prstGeom prst="rect">
                      <a:avLst/>
                    </a:prstGeom>
                    <a:noFill/>
                    <a:ln>
                      <a:noFill/>
                    </a:ln>
                  </pic:spPr>
                </pic:pic>
              </a:graphicData>
            </a:graphic>
          </wp:inline>
        </w:drawing>
      </w:r>
      <w:hyperlink r:id="rId11" w:tooltip="5(2)" w:history="1">
        <w:r>
          <w:rPr>
            <w:rStyle w:val="Hyperlink"/>
            <w:rFonts w:ascii="Arial" w:hAnsi="Arial" w:cs="Arial"/>
            <w:color w:val="145DA4"/>
            <w:sz w:val="18"/>
            <w:szCs w:val="18"/>
            <w:u w:val="none"/>
          </w:rPr>
          <w:t>5(2)</w:t>
        </w:r>
      </w:hyperlink>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r>
        <w:rPr>
          <w:rFonts w:ascii="Arial" w:hAnsi="Arial" w:cs="Arial"/>
          <w:color w:val="212121"/>
          <w:sz w:val="18"/>
          <w:szCs w:val="18"/>
        </w:rPr>
        <w:t>That a sister state's statutes are considered public acts under this clause does not require enforcement of every right conferred by statute of another state, nor insure unlimited extra-territorial recognition of all statutes or of any statute under all circumstances</w:t>
      </w:r>
      <w:bookmarkStart w:id="0" w:name="_GoBack"/>
      <w:r>
        <w:rPr>
          <w:rFonts w:ascii="Arial" w:hAnsi="Arial" w:cs="Arial"/>
          <w:color w:val="212121"/>
          <w:sz w:val="18"/>
          <w:szCs w:val="18"/>
        </w:rPr>
        <w:t xml:space="preserve">. </w:t>
      </w:r>
      <w:bookmarkEnd w:id="0"/>
      <w:r>
        <w:rPr>
          <w:rFonts w:ascii="Arial" w:hAnsi="Arial" w:cs="Arial"/>
          <w:color w:val="212121"/>
          <w:sz w:val="18"/>
          <w:szCs w:val="18"/>
        </w:rPr>
        <w:t> </w:t>
      </w:r>
      <w:hyperlink r:id="rId12" w:tooltip="Black Hills Packing Co. v. S. D. Stockgrowers Ass'n, D.C.S.D.1975, 397 F.Supp. 622" w:history="1">
        <w:r>
          <w:rPr>
            <w:rStyle w:val="Hyperlink"/>
            <w:rFonts w:ascii="Arial" w:hAnsi="Arial" w:cs="Arial"/>
            <w:color w:val="145DA4"/>
            <w:sz w:val="18"/>
            <w:szCs w:val="18"/>
            <w:u w:val="none"/>
          </w:rPr>
          <w:t xml:space="preserve">Black Hills Packing Co. v. S. D. </w:t>
        </w:r>
        <w:proofErr w:type="spellStart"/>
        <w:r>
          <w:rPr>
            <w:rStyle w:val="Hyperlink"/>
            <w:rFonts w:ascii="Arial" w:hAnsi="Arial" w:cs="Arial"/>
            <w:color w:val="145DA4"/>
            <w:sz w:val="18"/>
            <w:szCs w:val="18"/>
            <w:u w:val="none"/>
          </w:rPr>
          <w:t>Stockgrowers</w:t>
        </w:r>
        <w:proofErr w:type="spellEnd"/>
        <w:r>
          <w:rPr>
            <w:rStyle w:val="Hyperlink"/>
            <w:rFonts w:ascii="Arial" w:hAnsi="Arial" w:cs="Arial"/>
            <w:color w:val="145DA4"/>
            <w:sz w:val="18"/>
            <w:szCs w:val="18"/>
            <w:u w:val="none"/>
          </w:rPr>
          <w:t xml:space="preserve"> </w:t>
        </w:r>
        <w:proofErr w:type="spellStart"/>
        <w:r>
          <w:rPr>
            <w:rStyle w:val="Hyperlink"/>
            <w:rFonts w:ascii="Arial" w:hAnsi="Arial" w:cs="Arial"/>
            <w:color w:val="145DA4"/>
            <w:sz w:val="18"/>
            <w:szCs w:val="18"/>
            <w:u w:val="none"/>
          </w:rPr>
          <w:t>Ass'n</w:t>
        </w:r>
        <w:proofErr w:type="spellEnd"/>
        <w:r>
          <w:rPr>
            <w:rStyle w:val="Hyperlink"/>
            <w:rFonts w:ascii="Arial" w:hAnsi="Arial" w:cs="Arial"/>
            <w:color w:val="145DA4"/>
            <w:sz w:val="18"/>
            <w:szCs w:val="18"/>
            <w:u w:val="none"/>
          </w:rPr>
          <w:t xml:space="preserve">, D.C.S.D.1975, </w:t>
        </w:r>
        <w:proofErr w:type="gramStart"/>
        <w:r>
          <w:rPr>
            <w:rStyle w:val="Hyperlink"/>
            <w:rFonts w:ascii="Arial" w:hAnsi="Arial" w:cs="Arial"/>
            <w:color w:val="145DA4"/>
            <w:sz w:val="18"/>
            <w:szCs w:val="18"/>
            <w:u w:val="none"/>
          </w:rPr>
          <w:t xml:space="preserve">397 </w:t>
        </w:r>
        <w:proofErr w:type="spellStart"/>
        <w:r>
          <w:rPr>
            <w:rStyle w:val="Hyperlink"/>
            <w:rFonts w:ascii="Arial" w:hAnsi="Arial" w:cs="Arial"/>
            <w:color w:val="145DA4"/>
            <w:sz w:val="18"/>
            <w:szCs w:val="18"/>
            <w:u w:val="none"/>
          </w:rPr>
          <w:t>F.Supp</w:t>
        </w:r>
        <w:proofErr w:type="spellEnd"/>
        <w:proofErr w:type="gramEnd"/>
        <w:r>
          <w:rPr>
            <w:rStyle w:val="Hyperlink"/>
            <w:rFonts w:ascii="Arial" w:hAnsi="Arial" w:cs="Arial"/>
            <w:color w:val="145DA4"/>
            <w:sz w:val="18"/>
            <w:szCs w:val="18"/>
            <w:u w:val="none"/>
          </w:rPr>
          <w:t>. 622</w:t>
        </w:r>
      </w:hyperlink>
      <w:r>
        <w:rPr>
          <w:rFonts w:ascii="Arial" w:hAnsi="Arial" w:cs="Arial"/>
          <w:color w:val="212121"/>
          <w:sz w:val="18"/>
          <w:szCs w:val="18"/>
        </w:rPr>
        <w:t>.</w:t>
      </w:r>
      <w:hyperlink r:id="rId13" w:tooltip="Statutes" w:history="1">
        <w:r>
          <w:rPr>
            <w:rStyle w:val="Hyperlink"/>
            <w:rFonts w:ascii="Arial" w:hAnsi="Arial" w:cs="Arial"/>
            <w:color w:val="145DA4"/>
            <w:sz w:val="18"/>
            <w:szCs w:val="18"/>
            <w:u w:val="none"/>
          </w:rPr>
          <w:t>Statutes</w:t>
        </w:r>
      </w:hyperlink>
      <w:r>
        <w:rPr>
          <w:rFonts w:ascii="Arial" w:hAnsi="Arial" w:cs="Arial"/>
          <w:noProof/>
          <w:color w:val="212121"/>
          <w:sz w:val="18"/>
          <w:szCs w:val="18"/>
        </w:rPr>
        <w:drawing>
          <wp:inline distT="0" distB="0" distL="0" distR="0">
            <wp:extent cx="153035" cy="78740"/>
            <wp:effectExtent l="0" t="0" r="0" b="0"/>
            <wp:docPr id="1" name="Picture 1"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78740"/>
                    </a:xfrm>
                    <a:prstGeom prst="rect">
                      <a:avLst/>
                    </a:prstGeom>
                    <a:noFill/>
                    <a:ln>
                      <a:noFill/>
                    </a:ln>
                  </pic:spPr>
                </pic:pic>
              </a:graphicData>
            </a:graphic>
          </wp:inline>
        </w:drawing>
      </w:r>
      <w:hyperlink r:id="rId14" w:tooltip="1415" w:history="1">
        <w:r>
          <w:rPr>
            <w:rStyle w:val="Hyperlink"/>
            <w:rFonts w:ascii="Arial" w:hAnsi="Arial" w:cs="Arial"/>
            <w:color w:val="145DA4"/>
            <w:sz w:val="18"/>
            <w:szCs w:val="18"/>
            <w:u w:val="none"/>
          </w:rPr>
          <w:t>1415</w:t>
        </w:r>
      </w:hyperlink>
    </w:p>
    <w:p w:rsidR="00645F49" w:rsidRDefault="00645F49"/>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r>
        <w:rPr>
          <w:rFonts w:ascii="Arial" w:hAnsi="Arial" w:cs="Arial"/>
          <w:color w:val="212121"/>
          <w:sz w:val="18"/>
          <w:szCs w:val="18"/>
        </w:rPr>
        <w:t xml:space="preserve">Full Faith and Credit Clause does not require a state to substitute for its own statute, applicable to persons and events within it, the statute of another state reflecting a conflicting and opposed policy. </w:t>
      </w:r>
      <w:r>
        <w:rPr>
          <w:rFonts w:ascii="Arial" w:hAnsi="Arial" w:cs="Arial"/>
          <w:color w:val="212121"/>
          <w:sz w:val="18"/>
          <w:szCs w:val="18"/>
        </w:rPr>
        <w:t> </w:t>
      </w:r>
      <w:hyperlink r:id="rId15" w:tooltip="Franchise Tax Bd. of California v. Hyatt, U.S.Nev.2016, 136 S.Ct. 1277" w:history="1">
        <w:r>
          <w:rPr>
            <w:rStyle w:val="Hyperlink"/>
            <w:rFonts w:ascii="Arial" w:hAnsi="Arial" w:cs="Arial"/>
            <w:color w:val="145DA4"/>
            <w:sz w:val="18"/>
            <w:szCs w:val="18"/>
            <w:u w:val="none"/>
          </w:rPr>
          <w:t xml:space="preserve">Franchise Tax Bd. of California v. Hyatt, U.S.Nev.2016, 136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1277</w:t>
        </w:r>
      </w:hyperlink>
      <w:r>
        <w:rPr>
          <w:rFonts w:ascii="Arial" w:hAnsi="Arial" w:cs="Arial"/>
          <w:color w:val="212121"/>
          <w:sz w:val="18"/>
          <w:szCs w:val="18"/>
        </w:rPr>
        <w:t>.</w:t>
      </w:r>
      <w:hyperlink r:id="rId16" w:tooltip="States" w:history="1">
        <w:r>
          <w:rPr>
            <w:rStyle w:val="Hyperlink"/>
            <w:rFonts w:ascii="Arial" w:hAnsi="Arial" w:cs="Arial"/>
            <w:color w:val="145DA4"/>
            <w:sz w:val="18"/>
            <w:szCs w:val="18"/>
            <w:u w:val="none"/>
          </w:rPr>
          <w:t>States</w:t>
        </w:r>
      </w:hyperlink>
      <w:r>
        <w:rPr>
          <w:rFonts w:ascii="Arial" w:hAnsi="Arial" w:cs="Arial"/>
          <w:noProof/>
          <w:color w:val="212121"/>
          <w:sz w:val="18"/>
          <w:szCs w:val="18"/>
        </w:rPr>
        <w:drawing>
          <wp:inline distT="0" distB="0" distL="0" distR="0">
            <wp:extent cx="153035" cy="78740"/>
            <wp:effectExtent l="0" t="0" r="0" b="0"/>
            <wp:docPr id="9" name="Picture 9"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78740"/>
                    </a:xfrm>
                    <a:prstGeom prst="rect">
                      <a:avLst/>
                    </a:prstGeom>
                    <a:noFill/>
                    <a:ln>
                      <a:noFill/>
                    </a:ln>
                  </pic:spPr>
                </pic:pic>
              </a:graphicData>
            </a:graphic>
          </wp:inline>
        </w:drawing>
      </w:r>
      <w:hyperlink r:id="rId17" w:tooltip="5(2)" w:history="1">
        <w:r>
          <w:rPr>
            <w:rStyle w:val="Hyperlink"/>
            <w:rFonts w:ascii="Arial" w:hAnsi="Arial" w:cs="Arial"/>
            <w:color w:val="145DA4"/>
            <w:sz w:val="18"/>
            <w:szCs w:val="18"/>
            <w:u w:val="none"/>
          </w:rPr>
          <w:t>5(2)</w:t>
        </w:r>
      </w:hyperlink>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r>
        <w:rPr>
          <w:rFonts w:ascii="Arial" w:hAnsi="Arial" w:cs="Arial"/>
          <w:color w:val="212121"/>
          <w:sz w:val="18"/>
          <w:szCs w:val="18"/>
        </w:rPr>
        <w:t xml:space="preserve">This clause does not automatically compel forum state to subordinate its own statutory policy to conflicting public act of another state, and it is for United States Supreme Court to choose in each case between competing public policies involved. </w:t>
      </w:r>
      <w:r>
        <w:rPr>
          <w:rFonts w:ascii="Arial" w:hAnsi="Arial" w:cs="Arial"/>
          <w:color w:val="212121"/>
          <w:sz w:val="18"/>
          <w:szCs w:val="18"/>
        </w:rPr>
        <w:t> </w:t>
      </w:r>
      <w:hyperlink r:id="rId18" w:tooltip="Hughes v. Fetter, U.S.Wis.1951, 71 S.Ct. 980, 341 U.S. 609, 95 L.Ed. 1212" w:history="1">
        <w:r>
          <w:rPr>
            <w:rStyle w:val="Hyperlink"/>
            <w:rFonts w:ascii="Arial" w:hAnsi="Arial" w:cs="Arial"/>
            <w:color w:val="145DA4"/>
            <w:sz w:val="18"/>
            <w:szCs w:val="18"/>
            <w:u w:val="none"/>
          </w:rPr>
          <w:t xml:space="preserve">Hughes v. Fetter, U.S.Wis.1951, 71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980, 341 U.S. 609, </w:t>
        </w:r>
        <w:proofErr w:type="gramStart"/>
        <w:r>
          <w:rPr>
            <w:rStyle w:val="Hyperlink"/>
            <w:rFonts w:ascii="Arial" w:hAnsi="Arial" w:cs="Arial"/>
            <w:color w:val="145DA4"/>
            <w:sz w:val="18"/>
            <w:szCs w:val="18"/>
            <w:u w:val="none"/>
          </w:rPr>
          <w:t xml:space="preserve">95 </w:t>
        </w:r>
        <w:proofErr w:type="spellStart"/>
        <w:r>
          <w:rPr>
            <w:rStyle w:val="Hyperlink"/>
            <w:rFonts w:ascii="Arial" w:hAnsi="Arial" w:cs="Arial"/>
            <w:color w:val="145DA4"/>
            <w:sz w:val="18"/>
            <w:szCs w:val="18"/>
            <w:u w:val="none"/>
          </w:rPr>
          <w:t>L.Ed</w:t>
        </w:r>
        <w:proofErr w:type="spellEnd"/>
        <w:proofErr w:type="gramEnd"/>
        <w:r>
          <w:rPr>
            <w:rStyle w:val="Hyperlink"/>
            <w:rFonts w:ascii="Arial" w:hAnsi="Arial" w:cs="Arial"/>
            <w:color w:val="145DA4"/>
            <w:sz w:val="18"/>
            <w:szCs w:val="18"/>
            <w:u w:val="none"/>
          </w:rPr>
          <w:t>. 1212</w:t>
        </w:r>
      </w:hyperlink>
      <w:r>
        <w:rPr>
          <w:rFonts w:ascii="Arial" w:hAnsi="Arial" w:cs="Arial"/>
          <w:color w:val="212121"/>
          <w:sz w:val="18"/>
          <w:szCs w:val="18"/>
        </w:rPr>
        <w:t>.</w:t>
      </w:r>
      <w:hyperlink r:id="rId19" w:tooltip="States" w:history="1">
        <w:r>
          <w:rPr>
            <w:rStyle w:val="Hyperlink"/>
            <w:rFonts w:ascii="Arial" w:hAnsi="Arial" w:cs="Arial"/>
            <w:color w:val="145DA4"/>
            <w:sz w:val="18"/>
            <w:szCs w:val="18"/>
            <w:u w:val="none"/>
          </w:rPr>
          <w:t>States</w:t>
        </w:r>
      </w:hyperlink>
      <w:r>
        <w:rPr>
          <w:rFonts w:ascii="Arial" w:hAnsi="Arial" w:cs="Arial"/>
          <w:noProof/>
          <w:color w:val="212121"/>
          <w:sz w:val="18"/>
          <w:szCs w:val="18"/>
        </w:rPr>
        <w:drawing>
          <wp:inline distT="0" distB="0" distL="0" distR="0">
            <wp:extent cx="153035" cy="78740"/>
            <wp:effectExtent l="0" t="0" r="0" b="0"/>
            <wp:docPr id="8" name="Picture 8"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78740"/>
                    </a:xfrm>
                    <a:prstGeom prst="rect">
                      <a:avLst/>
                    </a:prstGeom>
                    <a:noFill/>
                    <a:ln>
                      <a:noFill/>
                    </a:ln>
                  </pic:spPr>
                </pic:pic>
              </a:graphicData>
            </a:graphic>
          </wp:inline>
        </w:drawing>
      </w:r>
      <w:hyperlink r:id="rId20" w:tooltip="5(2)" w:history="1">
        <w:r>
          <w:rPr>
            <w:rStyle w:val="Hyperlink"/>
            <w:rFonts w:ascii="Arial" w:hAnsi="Arial" w:cs="Arial"/>
            <w:color w:val="145DA4"/>
            <w:sz w:val="18"/>
            <w:szCs w:val="18"/>
            <w:u w:val="none"/>
          </w:rPr>
          <w:t>5(2)</w:t>
        </w:r>
      </w:hyperlink>
      <w:r w:rsidR="004558E4">
        <w:rPr>
          <w:rStyle w:val="Hyperlink"/>
          <w:rFonts w:ascii="Arial" w:hAnsi="Arial" w:cs="Arial"/>
          <w:color w:val="145DA4"/>
          <w:sz w:val="18"/>
          <w:szCs w:val="18"/>
          <w:u w:val="none"/>
        </w:rPr>
        <w:t xml:space="preserve">  (</w:t>
      </w:r>
      <w:r w:rsidR="004558E4">
        <w:rPr>
          <w:rStyle w:val="apple-converted-space"/>
          <w:rFonts w:ascii="Arial" w:hAnsi="Arial" w:cs="Arial"/>
          <w:color w:val="212121"/>
          <w:sz w:val="21"/>
          <w:szCs w:val="21"/>
        </w:rPr>
        <w:t> </w:t>
      </w:r>
      <w:r w:rsidR="004558E4">
        <w:rPr>
          <w:rFonts w:ascii="Arial" w:hAnsi="Arial" w:cs="Arial"/>
          <w:color w:val="212121"/>
          <w:sz w:val="21"/>
          <w:szCs w:val="21"/>
        </w:rPr>
        <w:t>Wisconsin Supreme Court judgment affirmed lower court decision holding that Wisconsin statute, which creates right of action only for deaths caused in that state, establishes local public policy against Wisconsin's entertaining suits brought under the wrongful death acts of other states</w:t>
      </w:r>
      <w:r w:rsidR="004558E4">
        <w:rPr>
          <w:rFonts w:ascii="Arial" w:hAnsi="Arial" w:cs="Arial"/>
          <w:color w:val="212121"/>
          <w:sz w:val="21"/>
          <w:szCs w:val="21"/>
        </w:rPr>
        <w:t>-  US Supreme Court upheld)</w:t>
      </w: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r>
        <w:rPr>
          <w:rFonts w:ascii="Arial" w:hAnsi="Arial" w:cs="Arial"/>
          <w:color w:val="212121"/>
          <w:sz w:val="18"/>
          <w:szCs w:val="18"/>
        </w:rPr>
        <w:t xml:space="preserve">This clause may not be used to compel one state to substitute the statutes of other states for its own statutes dealing with a subject matter concerning which it is competent to legislate. </w:t>
      </w:r>
      <w:r>
        <w:rPr>
          <w:rFonts w:ascii="Arial" w:hAnsi="Arial" w:cs="Arial"/>
          <w:color w:val="212121"/>
          <w:sz w:val="18"/>
          <w:szCs w:val="18"/>
        </w:rPr>
        <w:t> </w:t>
      </w:r>
      <w:hyperlink r:id="rId21" w:tooltip="State Farm Mutual Automobile Insurance Company v. Duel, U.S.Wis.1945, 65 S.Ct. 856, 324 U.S. 887, 89 L.Ed. 1436" w:history="1">
        <w:r>
          <w:rPr>
            <w:rStyle w:val="Hyperlink"/>
            <w:rFonts w:ascii="Arial" w:hAnsi="Arial" w:cs="Arial"/>
            <w:color w:val="145DA4"/>
            <w:sz w:val="18"/>
            <w:szCs w:val="18"/>
            <w:u w:val="none"/>
          </w:rPr>
          <w:t xml:space="preserve">State Farm Mutual Automobile Insurance Company v. Duel, U.S.Wis.1945, 65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856, 324 U.S. 887, </w:t>
        </w:r>
        <w:proofErr w:type="gramStart"/>
        <w:r>
          <w:rPr>
            <w:rStyle w:val="Hyperlink"/>
            <w:rFonts w:ascii="Arial" w:hAnsi="Arial" w:cs="Arial"/>
            <w:color w:val="145DA4"/>
            <w:sz w:val="18"/>
            <w:szCs w:val="18"/>
            <w:u w:val="none"/>
          </w:rPr>
          <w:t xml:space="preserve">89 </w:t>
        </w:r>
        <w:proofErr w:type="spellStart"/>
        <w:r>
          <w:rPr>
            <w:rStyle w:val="Hyperlink"/>
            <w:rFonts w:ascii="Arial" w:hAnsi="Arial" w:cs="Arial"/>
            <w:color w:val="145DA4"/>
            <w:sz w:val="18"/>
            <w:szCs w:val="18"/>
            <w:u w:val="none"/>
          </w:rPr>
          <w:t>L.Ed</w:t>
        </w:r>
        <w:proofErr w:type="spellEnd"/>
        <w:proofErr w:type="gramEnd"/>
        <w:r>
          <w:rPr>
            <w:rStyle w:val="Hyperlink"/>
            <w:rFonts w:ascii="Arial" w:hAnsi="Arial" w:cs="Arial"/>
            <w:color w:val="145DA4"/>
            <w:sz w:val="18"/>
            <w:szCs w:val="18"/>
            <w:u w:val="none"/>
          </w:rPr>
          <w:t>. 1436</w:t>
        </w:r>
      </w:hyperlink>
      <w:r>
        <w:rPr>
          <w:rFonts w:ascii="Arial" w:hAnsi="Arial" w:cs="Arial"/>
          <w:color w:val="212121"/>
          <w:sz w:val="18"/>
          <w:szCs w:val="18"/>
        </w:rPr>
        <w:t xml:space="preserve">. </w:t>
      </w:r>
      <w:r>
        <w:rPr>
          <w:rFonts w:ascii="Arial" w:hAnsi="Arial" w:cs="Arial"/>
          <w:color w:val="212121"/>
          <w:sz w:val="18"/>
          <w:szCs w:val="18"/>
        </w:rPr>
        <w:t> </w:t>
      </w:r>
      <w:r>
        <w:rPr>
          <w:rFonts w:ascii="Arial" w:hAnsi="Arial" w:cs="Arial"/>
          <w:color w:val="212121"/>
          <w:sz w:val="18"/>
          <w:szCs w:val="18"/>
        </w:rPr>
        <w:t>See, also,</w:t>
      </w:r>
      <w:r>
        <w:rPr>
          <w:rStyle w:val="apple-converted-space"/>
          <w:rFonts w:ascii="Arial" w:hAnsi="Arial" w:cs="Arial"/>
          <w:color w:val="212121"/>
          <w:sz w:val="18"/>
          <w:szCs w:val="18"/>
        </w:rPr>
        <w:t> </w:t>
      </w:r>
      <w:hyperlink r:id="rId22" w:tooltip="Pacific Employers Ins. Co. v. Industrial Accident Commission of State of California, Cal.1939, 59 S.Ct. 629, 306 U.S. 493, 83 L.Ed. 940" w:history="1">
        <w:r>
          <w:rPr>
            <w:rStyle w:val="Hyperlink"/>
            <w:rFonts w:ascii="Arial" w:hAnsi="Arial" w:cs="Arial"/>
            <w:color w:val="145DA4"/>
            <w:sz w:val="18"/>
            <w:szCs w:val="18"/>
            <w:u w:val="none"/>
          </w:rPr>
          <w:t xml:space="preserve">Pacific Employers Ins. Co. v. Industrial Accident Commission of State of California, Cal.1939, 59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629, 306 U.S. 493, 83 </w:t>
        </w:r>
        <w:proofErr w:type="spellStart"/>
        <w:r>
          <w:rPr>
            <w:rStyle w:val="Hyperlink"/>
            <w:rFonts w:ascii="Arial" w:hAnsi="Arial" w:cs="Arial"/>
            <w:color w:val="145DA4"/>
            <w:sz w:val="18"/>
            <w:szCs w:val="18"/>
            <w:u w:val="none"/>
          </w:rPr>
          <w:t>L.Ed</w:t>
        </w:r>
        <w:proofErr w:type="spellEnd"/>
        <w:r>
          <w:rPr>
            <w:rStyle w:val="Hyperlink"/>
            <w:rFonts w:ascii="Arial" w:hAnsi="Arial" w:cs="Arial"/>
            <w:color w:val="145DA4"/>
            <w:sz w:val="18"/>
            <w:szCs w:val="18"/>
            <w:u w:val="none"/>
          </w:rPr>
          <w:t>. 940</w:t>
        </w:r>
      </w:hyperlink>
      <w:proofErr w:type="gramStart"/>
      <w:r>
        <w:rPr>
          <w:rFonts w:ascii="Arial" w:hAnsi="Arial" w:cs="Arial"/>
          <w:color w:val="212121"/>
          <w:sz w:val="18"/>
          <w:szCs w:val="18"/>
        </w:rPr>
        <w:t>;  </w:t>
      </w:r>
      <w:proofErr w:type="gramEnd"/>
      <w:r>
        <w:rPr>
          <w:rFonts w:ascii="Arial" w:hAnsi="Arial" w:cs="Arial"/>
          <w:color w:val="212121"/>
          <w:sz w:val="18"/>
          <w:szCs w:val="18"/>
        </w:rPr>
        <w:fldChar w:fldCharType="begin"/>
      </w:r>
      <w:r>
        <w:rPr>
          <w:rFonts w:ascii="Arial" w:hAnsi="Arial" w:cs="Arial"/>
          <w:color w:val="212121"/>
          <w:sz w:val="18"/>
          <w:szCs w:val="18"/>
        </w:rPr>
        <w:instrText xml:space="preserve"> HYPERLINK "https://1.next.westlaw.com/Link/Document/FullText?findType=Y&amp;serNum=1988078108&amp;pubNum=0000708&amp;originatingDoc=N9E5AB8409DFA11D8A63DAA9EBCE8FE5A&amp;refType=RP&amp;originationContext=notesOfDecisions&amp;contextData=%28sc.Search%29&amp;transitionType=NotesOfDecisionItem" \o "Sun Oil Co. v. Wortman, U.S.Kan.1988, 108 S.Ct. 2117, 486 U.S.717, 100 L.Ed.2d 743" </w:instrText>
      </w:r>
      <w:r>
        <w:rPr>
          <w:rFonts w:ascii="Arial" w:hAnsi="Arial" w:cs="Arial"/>
          <w:color w:val="212121"/>
          <w:sz w:val="18"/>
          <w:szCs w:val="18"/>
        </w:rPr>
        <w:fldChar w:fldCharType="separate"/>
      </w:r>
      <w:r>
        <w:rPr>
          <w:rStyle w:val="Hyperlink"/>
          <w:rFonts w:ascii="Arial" w:hAnsi="Arial" w:cs="Arial"/>
          <w:color w:val="145DA4"/>
          <w:sz w:val="18"/>
          <w:szCs w:val="18"/>
          <w:u w:val="none"/>
        </w:rPr>
        <w:t xml:space="preserve">Sun Oil Co. v. </w:t>
      </w:r>
      <w:proofErr w:type="spellStart"/>
      <w:r>
        <w:rPr>
          <w:rStyle w:val="Hyperlink"/>
          <w:rFonts w:ascii="Arial" w:hAnsi="Arial" w:cs="Arial"/>
          <w:color w:val="145DA4"/>
          <w:sz w:val="18"/>
          <w:szCs w:val="18"/>
          <w:u w:val="none"/>
        </w:rPr>
        <w:t>Wortman</w:t>
      </w:r>
      <w:proofErr w:type="spellEnd"/>
      <w:r>
        <w:rPr>
          <w:rStyle w:val="Hyperlink"/>
          <w:rFonts w:ascii="Arial" w:hAnsi="Arial" w:cs="Arial"/>
          <w:color w:val="145DA4"/>
          <w:sz w:val="18"/>
          <w:szCs w:val="18"/>
          <w:u w:val="none"/>
        </w:rPr>
        <w:t xml:space="preserve">, U.S.Kan.1988, 108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2117, 486 U.S.717, 100 L.Ed.2d 743</w:t>
      </w:r>
      <w:r>
        <w:rPr>
          <w:rFonts w:ascii="Arial" w:hAnsi="Arial" w:cs="Arial"/>
          <w:color w:val="212121"/>
          <w:sz w:val="18"/>
          <w:szCs w:val="18"/>
        </w:rPr>
        <w:fldChar w:fldCharType="end"/>
      </w:r>
      <w:r>
        <w:rPr>
          <w:rFonts w:ascii="Arial" w:hAnsi="Arial" w:cs="Arial"/>
          <w:color w:val="212121"/>
          <w:sz w:val="18"/>
          <w:szCs w:val="18"/>
        </w:rPr>
        <w:t>.</w:t>
      </w: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r>
        <w:rPr>
          <w:rFonts w:ascii="Arial" w:hAnsi="Arial" w:cs="Arial"/>
          <w:color w:val="212121"/>
          <w:sz w:val="18"/>
          <w:szCs w:val="18"/>
        </w:rPr>
        <w:t xml:space="preserve">Each state has constitutional authority to make its own law with respect to persons and events within its borders, and this clause does not ordinarily require a state to substitute for its own law the conflicting law of another state even though that law is of controlling force in the courts of that state with respect to the same persons and events. </w:t>
      </w:r>
      <w:r>
        <w:rPr>
          <w:rFonts w:ascii="Arial" w:hAnsi="Arial" w:cs="Arial"/>
          <w:color w:val="212121"/>
          <w:sz w:val="18"/>
          <w:szCs w:val="18"/>
        </w:rPr>
        <w:t> </w:t>
      </w:r>
      <w:hyperlink r:id="rId23" w:tooltip="Magnolia Petroleum Co. v. Hunt, U.S.La.1943, 64 S.Ct. 208, 320 U.S. 430, 88 L.Ed. 149" w:history="1">
        <w:r>
          <w:rPr>
            <w:rStyle w:val="Hyperlink"/>
            <w:rFonts w:ascii="Arial" w:hAnsi="Arial" w:cs="Arial"/>
            <w:color w:val="145DA4"/>
            <w:sz w:val="18"/>
            <w:szCs w:val="18"/>
            <w:u w:val="none"/>
          </w:rPr>
          <w:t xml:space="preserve">Magnolia Petroleum Co. v. Hunt, U.S.La.1943, 64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208, 320 U.S. 430, </w:t>
        </w:r>
        <w:proofErr w:type="gramStart"/>
        <w:r>
          <w:rPr>
            <w:rStyle w:val="Hyperlink"/>
            <w:rFonts w:ascii="Arial" w:hAnsi="Arial" w:cs="Arial"/>
            <w:color w:val="145DA4"/>
            <w:sz w:val="18"/>
            <w:szCs w:val="18"/>
            <w:u w:val="none"/>
          </w:rPr>
          <w:t xml:space="preserve">88 </w:t>
        </w:r>
        <w:proofErr w:type="spellStart"/>
        <w:r>
          <w:rPr>
            <w:rStyle w:val="Hyperlink"/>
            <w:rFonts w:ascii="Arial" w:hAnsi="Arial" w:cs="Arial"/>
            <w:color w:val="145DA4"/>
            <w:sz w:val="18"/>
            <w:szCs w:val="18"/>
            <w:u w:val="none"/>
          </w:rPr>
          <w:t>L.Ed</w:t>
        </w:r>
        <w:proofErr w:type="spellEnd"/>
        <w:proofErr w:type="gramEnd"/>
        <w:r>
          <w:rPr>
            <w:rStyle w:val="Hyperlink"/>
            <w:rFonts w:ascii="Arial" w:hAnsi="Arial" w:cs="Arial"/>
            <w:color w:val="145DA4"/>
            <w:sz w:val="18"/>
            <w:szCs w:val="18"/>
            <w:u w:val="none"/>
          </w:rPr>
          <w:t>. 149</w:t>
        </w:r>
      </w:hyperlink>
      <w:r>
        <w:rPr>
          <w:rFonts w:ascii="Arial" w:hAnsi="Arial" w:cs="Arial"/>
          <w:color w:val="212121"/>
          <w:sz w:val="18"/>
          <w:szCs w:val="18"/>
        </w:rPr>
        <w:t>, rehearing denied</w:t>
      </w:r>
      <w:r>
        <w:rPr>
          <w:rStyle w:val="apple-converted-space"/>
          <w:rFonts w:ascii="Arial" w:hAnsi="Arial" w:cs="Arial"/>
          <w:color w:val="212121"/>
          <w:sz w:val="18"/>
          <w:szCs w:val="18"/>
        </w:rPr>
        <w:t> </w:t>
      </w:r>
      <w:hyperlink r:id="rId24" w:tooltip="64 S.Ct. 483, 321 U.S. 801, 88 L.Ed. 1088" w:history="1">
        <w:r>
          <w:rPr>
            <w:rStyle w:val="Hyperlink"/>
            <w:rFonts w:ascii="Arial" w:hAnsi="Arial" w:cs="Arial"/>
            <w:color w:val="145DA4"/>
            <w:sz w:val="18"/>
            <w:szCs w:val="18"/>
            <w:u w:val="none"/>
          </w:rPr>
          <w:t xml:space="preserve">64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483, 321 U.S. 801, 88 </w:t>
        </w:r>
        <w:proofErr w:type="spellStart"/>
        <w:r>
          <w:rPr>
            <w:rStyle w:val="Hyperlink"/>
            <w:rFonts w:ascii="Arial" w:hAnsi="Arial" w:cs="Arial"/>
            <w:color w:val="145DA4"/>
            <w:sz w:val="18"/>
            <w:szCs w:val="18"/>
            <w:u w:val="none"/>
          </w:rPr>
          <w:t>L.Ed</w:t>
        </w:r>
        <w:proofErr w:type="spellEnd"/>
        <w:r>
          <w:rPr>
            <w:rStyle w:val="Hyperlink"/>
            <w:rFonts w:ascii="Arial" w:hAnsi="Arial" w:cs="Arial"/>
            <w:color w:val="145DA4"/>
            <w:sz w:val="18"/>
            <w:szCs w:val="18"/>
            <w:u w:val="none"/>
          </w:rPr>
          <w:t>. 1088</w:t>
        </w:r>
      </w:hyperlink>
      <w:r>
        <w:rPr>
          <w:rFonts w:ascii="Arial" w:hAnsi="Arial" w:cs="Arial"/>
          <w:color w:val="212121"/>
          <w:sz w:val="18"/>
          <w:szCs w:val="18"/>
        </w:rPr>
        <w:t xml:space="preserve">. </w:t>
      </w:r>
      <w:r>
        <w:rPr>
          <w:rFonts w:ascii="Arial" w:hAnsi="Arial" w:cs="Arial"/>
          <w:color w:val="212121"/>
          <w:sz w:val="18"/>
          <w:szCs w:val="18"/>
        </w:rPr>
        <w:t> </w:t>
      </w:r>
      <w:r>
        <w:rPr>
          <w:rFonts w:ascii="Arial" w:hAnsi="Arial" w:cs="Arial"/>
          <w:color w:val="212121"/>
          <w:sz w:val="18"/>
          <w:szCs w:val="18"/>
        </w:rPr>
        <w:t>See, also,</w:t>
      </w:r>
      <w:r>
        <w:rPr>
          <w:rStyle w:val="apple-converted-space"/>
          <w:rFonts w:ascii="Arial" w:hAnsi="Arial" w:cs="Arial"/>
          <w:color w:val="212121"/>
          <w:sz w:val="18"/>
          <w:szCs w:val="18"/>
        </w:rPr>
        <w:t> </w:t>
      </w:r>
      <w:hyperlink r:id="rId25" w:tooltip="Pacific Employers Ins. Co. v. Industrial Accident Commission of State of California, Cal.1939, 59 S.Ct. 629, 306 U.S. 493, 83 L.Ed. 940" w:history="1">
        <w:r>
          <w:rPr>
            <w:rStyle w:val="Hyperlink"/>
            <w:rFonts w:ascii="Arial" w:hAnsi="Arial" w:cs="Arial"/>
            <w:color w:val="145DA4"/>
            <w:sz w:val="18"/>
            <w:szCs w:val="18"/>
            <w:u w:val="none"/>
          </w:rPr>
          <w:t xml:space="preserve">Pacific Employers Ins. Co. v. Industrial Accident Commission of State of California, Cal.1939, 59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629, 306 U.S. 493, 83 </w:t>
        </w:r>
        <w:proofErr w:type="spellStart"/>
        <w:r>
          <w:rPr>
            <w:rStyle w:val="Hyperlink"/>
            <w:rFonts w:ascii="Arial" w:hAnsi="Arial" w:cs="Arial"/>
            <w:color w:val="145DA4"/>
            <w:sz w:val="18"/>
            <w:szCs w:val="18"/>
            <w:u w:val="none"/>
          </w:rPr>
          <w:t>L.Ed</w:t>
        </w:r>
        <w:proofErr w:type="spellEnd"/>
        <w:r>
          <w:rPr>
            <w:rStyle w:val="Hyperlink"/>
            <w:rFonts w:ascii="Arial" w:hAnsi="Arial" w:cs="Arial"/>
            <w:color w:val="145DA4"/>
            <w:sz w:val="18"/>
            <w:szCs w:val="18"/>
            <w:u w:val="none"/>
          </w:rPr>
          <w:t>. 940</w:t>
        </w:r>
      </w:hyperlink>
      <w:r>
        <w:rPr>
          <w:rFonts w:ascii="Arial" w:hAnsi="Arial" w:cs="Arial"/>
          <w:color w:val="212121"/>
          <w:sz w:val="18"/>
          <w:szCs w:val="18"/>
        </w:rPr>
        <w:t>.</w:t>
      </w:r>
      <w:hyperlink r:id="rId26" w:tooltip="States" w:history="1">
        <w:r>
          <w:rPr>
            <w:rStyle w:val="Hyperlink"/>
            <w:rFonts w:ascii="Arial" w:hAnsi="Arial" w:cs="Arial"/>
            <w:color w:val="145DA4"/>
            <w:sz w:val="18"/>
            <w:szCs w:val="18"/>
            <w:u w:val="none"/>
          </w:rPr>
          <w:t>States</w:t>
        </w:r>
      </w:hyperlink>
      <w:r>
        <w:rPr>
          <w:rFonts w:ascii="Arial" w:hAnsi="Arial" w:cs="Arial"/>
          <w:noProof/>
          <w:color w:val="212121"/>
          <w:sz w:val="18"/>
          <w:szCs w:val="18"/>
        </w:rPr>
        <w:drawing>
          <wp:inline distT="0" distB="0" distL="0" distR="0">
            <wp:extent cx="153035" cy="78740"/>
            <wp:effectExtent l="0" t="0" r="0" b="0"/>
            <wp:docPr id="7" name="Picture 7"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78740"/>
                    </a:xfrm>
                    <a:prstGeom prst="rect">
                      <a:avLst/>
                    </a:prstGeom>
                    <a:noFill/>
                    <a:ln>
                      <a:noFill/>
                    </a:ln>
                  </pic:spPr>
                </pic:pic>
              </a:graphicData>
            </a:graphic>
          </wp:inline>
        </w:drawing>
      </w:r>
      <w:hyperlink r:id="rId27" w:tooltip="5(2)" w:history="1">
        <w:r>
          <w:rPr>
            <w:rStyle w:val="Hyperlink"/>
            <w:rFonts w:ascii="Arial" w:hAnsi="Arial" w:cs="Arial"/>
            <w:color w:val="145DA4"/>
            <w:sz w:val="18"/>
            <w:szCs w:val="18"/>
            <w:u w:val="none"/>
          </w:rPr>
          <w:t>5(2)</w:t>
        </w:r>
      </w:hyperlink>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r>
        <w:rPr>
          <w:rFonts w:ascii="Arial" w:hAnsi="Arial" w:cs="Arial"/>
          <w:color w:val="212121"/>
          <w:sz w:val="18"/>
          <w:szCs w:val="18"/>
        </w:rPr>
        <w:lastRenderedPageBreak/>
        <w:t xml:space="preserve">This clause does not compel the courts of one state to subordinate the local policy of that state, as respects its </w:t>
      </w:r>
      <w:proofErr w:type="spellStart"/>
      <w:r>
        <w:rPr>
          <w:rFonts w:ascii="Arial" w:hAnsi="Arial" w:cs="Arial"/>
          <w:color w:val="212121"/>
          <w:sz w:val="18"/>
          <w:szCs w:val="18"/>
        </w:rPr>
        <w:t>domiciliaries</w:t>
      </w:r>
      <w:proofErr w:type="spellEnd"/>
      <w:r>
        <w:rPr>
          <w:rFonts w:ascii="Arial" w:hAnsi="Arial" w:cs="Arial"/>
          <w:color w:val="212121"/>
          <w:sz w:val="18"/>
          <w:szCs w:val="18"/>
        </w:rPr>
        <w:t xml:space="preserve">, to the statutes of any other state. </w:t>
      </w:r>
      <w:r>
        <w:rPr>
          <w:rFonts w:ascii="Arial" w:hAnsi="Arial" w:cs="Arial"/>
          <w:color w:val="212121"/>
          <w:sz w:val="18"/>
          <w:szCs w:val="18"/>
        </w:rPr>
        <w:t> </w:t>
      </w:r>
      <w:hyperlink r:id="rId28" w:tooltip="Williams v. State of North Carolina, U.S.N.C.1942, 63 S.Ct. 207, 317 U.S. 287, 87 L.Ed. 279" w:history="1">
        <w:r>
          <w:rPr>
            <w:rStyle w:val="Hyperlink"/>
            <w:rFonts w:ascii="Arial" w:hAnsi="Arial" w:cs="Arial"/>
            <w:color w:val="145DA4"/>
            <w:sz w:val="18"/>
            <w:szCs w:val="18"/>
            <w:u w:val="none"/>
          </w:rPr>
          <w:t xml:space="preserve">Williams v. State of North Carolina, U.S.N.C.1942, 63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207, 317 U.S. 287, </w:t>
        </w:r>
        <w:proofErr w:type="gramStart"/>
        <w:r>
          <w:rPr>
            <w:rStyle w:val="Hyperlink"/>
            <w:rFonts w:ascii="Arial" w:hAnsi="Arial" w:cs="Arial"/>
            <w:color w:val="145DA4"/>
            <w:sz w:val="18"/>
            <w:szCs w:val="18"/>
            <w:u w:val="none"/>
          </w:rPr>
          <w:t xml:space="preserve">87 </w:t>
        </w:r>
        <w:proofErr w:type="spellStart"/>
        <w:r>
          <w:rPr>
            <w:rStyle w:val="Hyperlink"/>
            <w:rFonts w:ascii="Arial" w:hAnsi="Arial" w:cs="Arial"/>
            <w:color w:val="145DA4"/>
            <w:sz w:val="18"/>
            <w:szCs w:val="18"/>
            <w:u w:val="none"/>
          </w:rPr>
          <w:t>L.Ed</w:t>
        </w:r>
        <w:proofErr w:type="spellEnd"/>
        <w:proofErr w:type="gramEnd"/>
        <w:r>
          <w:rPr>
            <w:rStyle w:val="Hyperlink"/>
            <w:rFonts w:ascii="Arial" w:hAnsi="Arial" w:cs="Arial"/>
            <w:color w:val="145DA4"/>
            <w:sz w:val="18"/>
            <w:szCs w:val="18"/>
            <w:u w:val="none"/>
          </w:rPr>
          <w:t>. 279</w:t>
        </w:r>
      </w:hyperlink>
      <w:r>
        <w:rPr>
          <w:rFonts w:ascii="Arial" w:hAnsi="Arial" w:cs="Arial"/>
          <w:color w:val="212121"/>
          <w:sz w:val="18"/>
          <w:szCs w:val="18"/>
        </w:rPr>
        <w:t>.</w:t>
      </w:r>
      <w:hyperlink r:id="rId29" w:tooltip="States" w:history="1">
        <w:r>
          <w:rPr>
            <w:rStyle w:val="Hyperlink"/>
            <w:rFonts w:ascii="Arial" w:hAnsi="Arial" w:cs="Arial"/>
            <w:color w:val="145DA4"/>
            <w:sz w:val="18"/>
            <w:szCs w:val="18"/>
            <w:u w:val="none"/>
          </w:rPr>
          <w:t>States</w:t>
        </w:r>
      </w:hyperlink>
      <w:r>
        <w:rPr>
          <w:rFonts w:ascii="Arial" w:hAnsi="Arial" w:cs="Arial"/>
          <w:noProof/>
          <w:color w:val="212121"/>
          <w:sz w:val="18"/>
          <w:szCs w:val="18"/>
        </w:rPr>
        <w:drawing>
          <wp:inline distT="0" distB="0" distL="0" distR="0">
            <wp:extent cx="153035" cy="78740"/>
            <wp:effectExtent l="0" t="0" r="0" b="0"/>
            <wp:docPr id="6" name="Picture 6"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78740"/>
                    </a:xfrm>
                    <a:prstGeom prst="rect">
                      <a:avLst/>
                    </a:prstGeom>
                    <a:noFill/>
                    <a:ln>
                      <a:noFill/>
                    </a:ln>
                  </pic:spPr>
                </pic:pic>
              </a:graphicData>
            </a:graphic>
          </wp:inline>
        </w:drawing>
      </w:r>
      <w:hyperlink r:id="rId30" w:tooltip="5(2)" w:history="1">
        <w:r>
          <w:rPr>
            <w:rStyle w:val="Hyperlink"/>
            <w:rFonts w:ascii="Arial" w:hAnsi="Arial" w:cs="Arial"/>
            <w:color w:val="145DA4"/>
            <w:sz w:val="18"/>
            <w:szCs w:val="18"/>
            <w:u w:val="none"/>
          </w:rPr>
          <w:t>5(2)</w:t>
        </w:r>
      </w:hyperlink>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p>
    <w:p w:rsidR="001D347D" w:rsidRDefault="001D347D" w:rsidP="001D347D">
      <w:pPr>
        <w:pStyle w:val="notetext"/>
        <w:pBdr>
          <w:top w:val="single" w:sz="6" w:space="4" w:color="EEEEEE"/>
        </w:pBdr>
        <w:spacing w:before="0" w:beforeAutospacing="0" w:after="0" w:afterAutospacing="0" w:line="270" w:lineRule="atLeast"/>
        <w:rPr>
          <w:rFonts w:ascii="Arial" w:hAnsi="Arial" w:cs="Arial"/>
          <w:color w:val="212121"/>
          <w:sz w:val="18"/>
          <w:szCs w:val="18"/>
        </w:rPr>
      </w:pPr>
      <w:r>
        <w:rPr>
          <w:rFonts w:ascii="Arial" w:hAnsi="Arial" w:cs="Arial"/>
          <w:color w:val="212121"/>
          <w:sz w:val="18"/>
          <w:szCs w:val="18"/>
        </w:rPr>
        <w:t xml:space="preserve">Every state has authority, under the Constitution, to establish laws through both its judicial and its legislative arms which are controlling on its inhabitants and domestic affairs, and, when it is demanded in the domestic forum that the operation of those laws be supplanted by statute of another state, that forum is not bound, apart from this clause, to yield to the demand, and the law of neither can by its own force determine the choice of the law for the other. </w:t>
      </w:r>
      <w:r>
        <w:rPr>
          <w:rFonts w:ascii="Arial" w:hAnsi="Arial" w:cs="Arial"/>
          <w:color w:val="212121"/>
          <w:sz w:val="18"/>
          <w:szCs w:val="18"/>
        </w:rPr>
        <w:t> </w:t>
      </w:r>
      <w:hyperlink r:id="rId31" w:tooltip="Pink v. A.A.A. Highway Exp., U.S.Ga.1941, 62 S.Ct. 241, 314 U.S. 201, 86 L.Ed. 152" w:history="1">
        <w:proofErr w:type="gramStart"/>
        <w:r>
          <w:rPr>
            <w:rStyle w:val="Hyperlink"/>
            <w:rFonts w:ascii="Arial" w:hAnsi="Arial" w:cs="Arial"/>
            <w:color w:val="145DA4"/>
            <w:sz w:val="18"/>
            <w:szCs w:val="18"/>
            <w:u w:val="none"/>
          </w:rPr>
          <w:t xml:space="preserve">Pink v. A.A.A. Highway Exp., U.S.Ga.1941, 62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241, 314 U.S. 201, 86 </w:t>
        </w:r>
        <w:proofErr w:type="spellStart"/>
        <w:r>
          <w:rPr>
            <w:rStyle w:val="Hyperlink"/>
            <w:rFonts w:ascii="Arial" w:hAnsi="Arial" w:cs="Arial"/>
            <w:color w:val="145DA4"/>
            <w:sz w:val="18"/>
            <w:szCs w:val="18"/>
            <w:u w:val="none"/>
          </w:rPr>
          <w:t>L.Ed</w:t>
        </w:r>
        <w:proofErr w:type="spellEnd"/>
        <w:r>
          <w:rPr>
            <w:rStyle w:val="Hyperlink"/>
            <w:rFonts w:ascii="Arial" w:hAnsi="Arial" w:cs="Arial"/>
            <w:color w:val="145DA4"/>
            <w:sz w:val="18"/>
            <w:szCs w:val="18"/>
            <w:u w:val="none"/>
          </w:rPr>
          <w:t>.</w:t>
        </w:r>
        <w:proofErr w:type="gramEnd"/>
        <w:r>
          <w:rPr>
            <w:rStyle w:val="Hyperlink"/>
            <w:rFonts w:ascii="Arial" w:hAnsi="Arial" w:cs="Arial"/>
            <w:color w:val="145DA4"/>
            <w:sz w:val="18"/>
            <w:szCs w:val="18"/>
            <w:u w:val="none"/>
          </w:rPr>
          <w:t xml:space="preserve"> 152</w:t>
        </w:r>
      </w:hyperlink>
      <w:r>
        <w:rPr>
          <w:rFonts w:ascii="Arial" w:hAnsi="Arial" w:cs="Arial"/>
          <w:color w:val="212121"/>
          <w:sz w:val="18"/>
          <w:szCs w:val="18"/>
        </w:rPr>
        <w:t>, rehearing denied</w:t>
      </w:r>
      <w:r>
        <w:rPr>
          <w:rStyle w:val="apple-converted-space"/>
          <w:rFonts w:ascii="Arial" w:hAnsi="Arial" w:cs="Arial"/>
          <w:color w:val="212121"/>
          <w:sz w:val="18"/>
          <w:szCs w:val="18"/>
        </w:rPr>
        <w:t> </w:t>
      </w:r>
      <w:hyperlink r:id="rId32" w:tooltip="62 S.Ct. 477, 314 U.S. 716, 86 L.Ed. 570" w:history="1">
        <w:r>
          <w:rPr>
            <w:rStyle w:val="Hyperlink"/>
            <w:rFonts w:ascii="Arial" w:hAnsi="Arial" w:cs="Arial"/>
            <w:color w:val="145DA4"/>
            <w:sz w:val="18"/>
            <w:szCs w:val="18"/>
            <w:u w:val="none"/>
          </w:rPr>
          <w:t xml:space="preserve">62 </w:t>
        </w:r>
        <w:proofErr w:type="spellStart"/>
        <w:r>
          <w:rPr>
            <w:rStyle w:val="Hyperlink"/>
            <w:rFonts w:ascii="Arial" w:hAnsi="Arial" w:cs="Arial"/>
            <w:color w:val="145DA4"/>
            <w:sz w:val="18"/>
            <w:szCs w:val="18"/>
            <w:u w:val="none"/>
          </w:rPr>
          <w:t>S.Ct</w:t>
        </w:r>
        <w:proofErr w:type="spellEnd"/>
        <w:r>
          <w:rPr>
            <w:rStyle w:val="Hyperlink"/>
            <w:rFonts w:ascii="Arial" w:hAnsi="Arial" w:cs="Arial"/>
            <w:color w:val="145DA4"/>
            <w:sz w:val="18"/>
            <w:szCs w:val="18"/>
            <w:u w:val="none"/>
          </w:rPr>
          <w:t xml:space="preserve">. 477, 314 U.S. 716, 86 </w:t>
        </w:r>
        <w:proofErr w:type="spellStart"/>
        <w:r>
          <w:rPr>
            <w:rStyle w:val="Hyperlink"/>
            <w:rFonts w:ascii="Arial" w:hAnsi="Arial" w:cs="Arial"/>
            <w:color w:val="145DA4"/>
            <w:sz w:val="18"/>
            <w:szCs w:val="18"/>
            <w:u w:val="none"/>
          </w:rPr>
          <w:t>L.Ed</w:t>
        </w:r>
        <w:proofErr w:type="spellEnd"/>
        <w:r>
          <w:rPr>
            <w:rStyle w:val="Hyperlink"/>
            <w:rFonts w:ascii="Arial" w:hAnsi="Arial" w:cs="Arial"/>
            <w:color w:val="145DA4"/>
            <w:sz w:val="18"/>
            <w:szCs w:val="18"/>
            <w:u w:val="none"/>
          </w:rPr>
          <w:t>. 570</w:t>
        </w:r>
      </w:hyperlink>
      <w:r>
        <w:rPr>
          <w:rFonts w:ascii="Arial" w:hAnsi="Arial" w:cs="Arial"/>
          <w:color w:val="212121"/>
          <w:sz w:val="18"/>
          <w:szCs w:val="18"/>
        </w:rPr>
        <w:t>.</w:t>
      </w:r>
      <w:hyperlink r:id="rId33" w:tooltip="Courts" w:history="1">
        <w:r>
          <w:rPr>
            <w:rStyle w:val="Hyperlink"/>
            <w:rFonts w:ascii="Arial" w:hAnsi="Arial" w:cs="Arial"/>
            <w:color w:val="145DA4"/>
            <w:sz w:val="18"/>
            <w:szCs w:val="18"/>
            <w:u w:val="none"/>
          </w:rPr>
          <w:t>Courts</w:t>
        </w:r>
      </w:hyperlink>
      <w:r>
        <w:rPr>
          <w:rFonts w:ascii="Arial" w:hAnsi="Arial" w:cs="Arial"/>
          <w:noProof/>
          <w:color w:val="212121"/>
          <w:sz w:val="18"/>
          <w:szCs w:val="18"/>
        </w:rPr>
        <w:drawing>
          <wp:inline distT="0" distB="0" distL="0" distR="0">
            <wp:extent cx="153035" cy="78740"/>
            <wp:effectExtent l="0" t="0" r="0" b="0"/>
            <wp:docPr id="5" name="Picture 5"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78740"/>
                    </a:xfrm>
                    <a:prstGeom prst="rect">
                      <a:avLst/>
                    </a:prstGeom>
                    <a:noFill/>
                    <a:ln>
                      <a:noFill/>
                    </a:ln>
                  </pic:spPr>
                </pic:pic>
              </a:graphicData>
            </a:graphic>
          </wp:inline>
        </w:drawing>
      </w:r>
      <w:hyperlink r:id="rId34" w:tooltip="8" w:history="1">
        <w:r>
          <w:rPr>
            <w:rStyle w:val="Hyperlink"/>
            <w:rFonts w:ascii="Arial" w:hAnsi="Arial" w:cs="Arial"/>
            <w:color w:val="145DA4"/>
            <w:sz w:val="18"/>
            <w:szCs w:val="18"/>
            <w:u w:val="none"/>
          </w:rPr>
          <w:t>8</w:t>
        </w:r>
      </w:hyperlink>
      <w:hyperlink r:id="rId35" w:tooltip="States" w:history="1">
        <w:r>
          <w:rPr>
            <w:rStyle w:val="Hyperlink"/>
            <w:rFonts w:ascii="Arial" w:hAnsi="Arial" w:cs="Arial"/>
            <w:color w:val="145DA4"/>
            <w:sz w:val="18"/>
            <w:szCs w:val="18"/>
            <w:u w:val="none"/>
          </w:rPr>
          <w:t>States</w:t>
        </w:r>
      </w:hyperlink>
      <w:r>
        <w:rPr>
          <w:rFonts w:ascii="Arial" w:hAnsi="Arial" w:cs="Arial"/>
          <w:noProof/>
          <w:color w:val="212121"/>
          <w:sz w:val="18"/>
          <w:szCs w:val="18"/>
        </w:rPr>
        <w:drawing>
          <wp:inline distT="0" distB="0" distL="0" distR="0">
            <wp:extent cx="153035" cy="78740"/>
            <wp:effectExtent l="0" t="0" r="0" b="0"/>
            <wp:docPr id="4" name="Picture 4"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78740"/>
                    </a:xfrm>
                    <a:prstGeom prst="rect">
                      <a:avLst/>
                    </a:prstGeom>
                    <a:noFill/>
                    <a:ln>
                      <a:noFill/>
                    </a:ln>
                  </pic:spPr>
                </pic:pic>
              </a:graphicData>
            </a:graphic>
          </wp:inline>
        </w:drawing>
      </w:r>
      <w:hyperlink r:id="rId36" w:tooltip="5(1)" w:history="1">
        <w:r>
          <w:rPr>
            <w:rStyle w:val="Hyperlink"/>
            <w:rFonts w:ascii="Arial" w:hAnsi="Arial" w:cs="Arial"/>
            <w:color w:val="145DA4"/>
            <w:sz w:val="18"/>
            <w:szCs w:val="18"/>
            <w:u w:val="none"/>
          </w:rPr>
          <w:t>5(1)</w:t>
        </w:r>
      </w:hyperlink>
    </w:p>
    <w:p w:rsidR="001D347D" w:rsidRDefault="001D347D"/>
    <w:p w:rsidR="001D347D" w:rsidRDefault="001D347D">
      <w:r>
        <w:rPr>
          <w:rFonts w:ascii="Arial" w:hAnsi="Arial" w:cs="Arial"/>
          <w:color w:val="212121"/>
          <w:sz w:val="18"/>
          <w:szCs w:val="18"/>
        </w:rPr>
        <w:t xml:space="preserve">The full faith and credit clause does not automatically compel a state to subordinate its own contract laws to the laws of another state in which a contract happens to have been formally executed, and where a contract affects people of several states, each may have interests that leave it free to enforce its own contract policies. </w:t>
      </w:r>
      <w:r>
        <w:rPr>
          <w:rFonts w:ascii="Arial" w:hAnsi="Arial" w:cs="Arial"/>
          <w:color w:val="212121"/>
          <w:sz w:val="18"/>
          <w:szCs w:val="18"/>
        </w:rPr>
        <w:t> </w:t>
      </w:r>
      <w:hyperlink r:id="rId37" w:tooltip="Watson v. Employers Liability Assur. Corp., U.S.La.1954, 75 S.Ct. 166, 348 U.S. 66, 99 L.Ed. 74" w:history="1">
        <w:proofErr w:type="gramStart"/>
        <w:r>
          <w:rPr>
            <w:rStyle w:val="Hyperlink"/>
            <w:rFonts w:ascii="Arial" w:hAnsi="Arial" w:cs="Arial"/>
            <w:color w:val="145DA4"/>
            <w:sz w:val="18"/>
            <w:szCs w:val="18"/>
          </w:rPr>
          <w:t>Watson v. Employers Liability Assur.</w:t>
        </w:r>
        <w:proofErr w:type="gramEnd"/>
        <w:r>
          <w:rPr>
            <w:rStyle w:val="Hyperlink"/>
            <w:rFonts w:ascii="Arial" w:hAnsi="Arial" w:cs="Arial"/>
            <w:color w:val="145DA4"/>
            <w:sz w:val="18"/>
            <w:szCs w:val="18"/>
          </w:rPr>
          <w:t xml:space="preserve"> Corp., U.S.La.1954, 75 </w:t>
        </w:r>
        <w:proofErr w:type="spellStart"/>
        <w:r>
          <w:rPr>
            <w:rStyle w:val="Hyperlink"/>
            <w:rFonts w:ascii="Arial" w:hAnsi="Arial" w:cs="Arial"/>
            <w:color w:val="145DA4"/>
            <w:sz w:val="18"/>
            <w:szCs w:val="18"/>
          </w:rPr>
          <w:t>S.Ct</w:t>
        </w:r>
        <w:proofErr w:type="spellEnd"/>
        <w:r>
          <w:rPr>
            <w:rStyle w:val="Hyperlink"/>
            <w:rFonts w:ascii="Arial" w:hAnsi="Arial" w:cs="Arial"/>
            <w:color w:val="145DA4"/>
            <w:sz w:val="18"/>
            <w:szCs w:val="18"/>
          </w:rPr>
          <w:t xml:space="preserve">. 166, 348 U.S. 66, </w:t>
        </w:r>
        <w:proofErr w:type="gramStart"/>
        <w:r>
          <w:rPr>
            <w:rStyle w:val="Hyperlink"/>
            <w:rFonts w:ascii="Arial" w:hAnsi="Arial" w:cs="Arial"/>
            <w:color w:val="145DA4"/>
            <w:sz w:val="18"/>
            <w:szCs w:val="18"/>
          </w:rPr>
          <w:t xml:space="preserve">99 </w:t>
        </w:r>
        <w:proofErr w:type="spellStart"/>
        <w:r>
          <w:rPr>
            <w:rStyle w:val="Hyperlink"/>
            <w:rFonts w:ascii="Arial" w:hAnsi="Arial" w:cs="Arial"/>
            <w:color w:val="145DA4"/>
            <w:sz w:val="18"/>
            <w:szCs w:val="18"/>
          </w:rPr>
          <w:t>L.Ed</w:t>
        </w:r>
        <w:proofErr w:type="spellEnd"/>
        <w:proofErr w:type="gramEnd"/>
        <w:r>
          <w:rPr>
            <w:rStyle w:val="Hyperlink"/>
            <w:rFonts w:ascii="Arial" w:hAnsi="Arial" w:cs="Arial"/>
            <w:color w:val="145DA4"/>
            <w:sz w:val="18"/>
            <w:szCs w:val="18"/>
          </w:rPr>
          <w:t>. 74</w:t>
        </w:r>
      </w:hyperlink>
      <w:r>
        <w:rPr>
          <w:rFonts w:ascii="Arial" w:hAnsi="Arial" w:cs="Arial"/>
          <w:color w:val="212121"/>
          <w:sz w:val="18"/>
          <w:szCs w:val="18"/>
        </w:rPr>
        <w:t>, rehearing denied</w:t>
      </w:r>
      <w:r>
        <w:rPr>
          <w:rStyle w:val="apple-converted-space"/>
          <w:rFonts w:ascii="Arial" w:hAnsi="Arial" w:cs="Arial"/>
          <w:color w:val="212121"/>
          <w:sz w:val="18"/>
          <w:szCs w:val="18"/>
        </w:rPr>
        <w:t> </w:t>
      </w:r>
      <w:hyperlink r:id="rId38" w:tooltip="75 S.Ct. 289, 348 U.S. 921, 99 L.Ed. 722" w:history="1">
        <w:r>
          <w:rPr>
            <w:rStyle w:val="Hyperlink"/>
            <w:rFonts w:ascii="Arial" w:hAnsi="Arial" w:cs="Arial"/>
            <w:color w:val="145DA4"/>
            <w:sz w:val="18"/>
            <w:szCs w:val="18"/>
          </w:rPr>
          <w:t xml:space="preserve">75 </w:t>
        </w:r>
        <w:proofErr w:type="spellStart"/>
        <w:r>
          <w:rPr>
            <w:rStyle w:val="Hyperlink"/>
            <w:rFonts w:ascii="Arial" w:hAnsi="Arial" w:cs="Arial"/>
            <w:color w:val="145DA4"/>
            <w:sz w:val="18"/>
            <w:szCs w:val="18"/>
          </w:rPr>
          <w:t>S.Ct</w:t>
        </w:r>
        <w:proofErr w:type="spellEnd"/>
        <w:r>
          <w:rPr>
            <w:rStyle w:val="Hyperlink"/>
            <w:rFonts w:ascii="Arial" w:hAnsi="Arial" w:cs="Arial"/>
            <w:color w:val="145DA4"/>
            <w:sz w:val="18"/>
            <w:szCs w:val="18"/>
          </w:rPr>
          <w:t xml:space="preserve">. 289, 348 U.S. 921, 99 </w:t>
        </w:r>
        <w:proofErr w:type="spellStart"/>
        <w:r>
          <w:rPr>
            <w:rStyle w:val="Hyperlink"/>
            <w:rFonts w:ascii="Arial" w:hAnsi="Arial" w:cs="Arial"/>
            <w:color w:val="145DA4"/>
            <w:sz w:val="18"/>
            <w:szCs w:val="18"/>
          </w:rPr>
          <w:t>L.Ed</w:t>
        </w:r>
        <w:proofErr w:type="spellEnd"/>
        <w:r>
          <w:rPr>
            <w:rStyle w:val="Hyperlink"/>
            <w:rFonts w:ascii="Arial" w:hAnsi="Arial" w:cs="Arial"/>
            <w:color w:val="145DA4"/>
            <w:sz w:val="18"/>
            <w:szCs w:val="18"/>
          </w:rPr>
          <w:t>. 722</w:t>
        </w:r>
      </w:hyperlink>
      <w:r>
        <w:rPr>
          <w:rFonts w:ascii="Arial" w:hAnsi="Arial" w:cs="Arial"/>
          <w:color w:val="212121"/>
          <w:sz w:val="18"/>
          <w:szCs w:val="18"/>
        </w:rPr>
        <w:t>.</w:t>
      </w:r>
      <w:hyperlink r:id="rId39" w:tooltip="States" w:history="1">
        <w:r>
          <w:rPr>
            <w:rStyle w:val="Hyperlink"/>
            <w:rFonts w:ascii="Arial" w:hAnsi="Arial" w:cs="Arial"/>
            <w:color w:val="145DA4"/>
            <w:sz w:val="18"/>
            <w:szCs w:val="18"/>
          </w:rPr>
          <w:t>States</w:t>
        </w:r>
      </w:hyperlink>
      <w:r>
        <w:rPr>
          <w:noProof/>
        </w:rPr>
        <w:drawing>
          <wp:inline distT="0" distB="0" distL="0" distR="0">
            <wp:extent cx="153035" cy="78740"/>
            <wp:effectExtent l="0" t="0" r="0" b="0"/>
            <wp:docPr id="10" name="Picture 10"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ey 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78740"/>
                    </a:xfrm>
                    <a:prstGeom prst="rect">
                      <a:avLst/>
                    </a:prstGeom>
                    <a:noFill/>
                    <a:ln>
                      <a:noFill/>
                    </a:ln>
                  </pic:spPr>
                </pic:pic>
              </a:graphicData>
            </a:graphic>
          </wp:inline>
        </w:drawing>
      </w:r>
      <w:hyperlink r:id="rId40" w:tooltip="5(2)" w:history="1">
        <w:r>
          <w:rPr>
            <w:rStyle w:val="Hyperlink"/>
            <w:rFonts w:ascii="Arial" w:hAnsi="Arial" w:cs="Arial"/>
            <w:color w:val="145DA4"/>
            <w:sz w:val="18"/>
            <w:szCs w:val="18"/>
          </w:rPr>
          <w:t>5(2)</w:t>
        </w:r>
      </w:hyperlink>
    </w:p>
    <w:sectPr w:rsidR="001D3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7D"/>
    <w:rsid w:val="000102EE"/>
    <w:rsid w:val="000205F8"/>
    <w:rsid w:val="00023F10"/>
    <w:rsid w:val="0003092B"/>
    <w:rsid w:val="00032F3C"/>
    <w:rsid w:val="00041D47"/>
    <w:rsid w:val="00053122"/>
    <w:rsid w:val="00055B0C"/>
    <w:rsid w:val="0007754C"/>
    <w:rsid w:val="000B3E05"/>
    <w:rsid w:val="000C6792"/>
    <w:rsid w:val="000D5143"/>
    <w:rsid w:val="000E62DF"/>
    <w:rsid w:val="00100F26"/>
    <w:rsid w:val="00104C92"/>
    <w:rsid w:val="00111F3E"/>
    <w:rsid w:val="001217F4"/>
    <w:rsid w:val="00127F75"/>
    <w:rsid w:val="0015015D"/>
    <w:rsid w:val="00150B65"/>
    <w:rsid w:val="001553E2"/>
    <w:rsid w:val="00170B6A"/>
    <w:rsid w:val="00174AF2"/>
    <w:rsid w:val="00185FCE"/>
    <w:rsid w:val="001A034D"/>
    <w:rsid w:val="001A2A9B"/>
    <w:rsid w:val="001A41CF"/>
    <w:rsid w:val="001A545E"/>
    <w:rsid w:val="001B11B2"/>
    <w:rsid w:val="001B57DC"/>
    <w:rsid w:val="001C3AE1"/>
    <w:rsid w:val="001C5477"/>
    <w:rsid w:val="001D347D"/>
    <w:rsid w:val="001D4533"/>
    <w:rsid w:val="001E6656"/>
    <w:rsid w:val="001F7CE1"/>
    <w:rsid w:val="00201318"/>
    <w:rsid w:val="0020777B"/>
    <w:rsid w:val="00210106"/>
    <w:rsid w:val="00212F0A"/>
    <w:rsid w:val="00216FED"/>
    <w:rsid w:val="00247CBE"/>
    <w:rsid w:val="002813F9"/>
    <w:rsid w:val="00292624"/>
    <w:rsid w:val="00294FB6"/>
    <w:rsid w:val="00295930"/>
    <w:rsid w:val="002B1882"/>
    <w:rsid w:val="002D0BC7"/>
    <w:rsid w:val="002D2CC4"/>
    <w:rsid w:val="002D358B"/>
    <w:rsid w:val="002D758F"/>
    <w:rsid w:val="003007A0"/>
    <w:rsid w:val="0034031B"/>
    <w:rsid w:val="00344393"/>
    <w:rsid w:val="00356195"/>
    <w:rsid w:val="00362E1B"/>
    <w:rsid w:val="0036428C"/>
    <w:rsid w:val="00376CF2"/>
    <w:rsid w:val="00390F43"/>
    <w:rsid w:val="003A2EEA"/>
    <w:rsid w:val="003A5083"/>
    <w:rsid w:val="003A5B70"/>
    <w:rsid w:val="003B19C4"/>
    <w:rsid w:val="003C627E"/>
    <w:rsid w:val="003E0491"/>
    <w:rsid w:val="003F009A"/>
    <w:rsid w:val="003F2CF6"/>
    <w:rsid w:val="00401696"/>
    <w:rsid w:val="00410DB5"/>
    <w:rsid w:val="0041249D"/>
    <w:rsid w:val="00427C51"/>
    <w:rsid w:val="00430CBB"/>
    <w:rsid w:val="00432E44"/>
    <w:rsid w:val="00440873"/>
    <w:rsid w:val="00441290"/>
    <w:rsid w:val="00446365"/>
    <w:rsid w:val="00453234"/>
    <w:rsid w:val="004558E4"/>
    <w:rsid w:val="00455D5D"/>
    <w:rsid w:val="00456B59"/>
    <w:rsid w:val="004718C5"/>
    <w:rsid w:val="00475347"/>
    <w:rsid w:val="00476FF9"/>
    <w:rsid w:val="00480D3E"/>
    <w:rsid w:val="004831C0"/>
    <w:rsid w:val="00493A5F"/>
    <w:rsid w:val="004A6FFE"/>
    <w:rsid w:val="004B321C"/>
    <w:rsid w:val="004D0865"/>
    <w:rsid w:val="004D391A"/>
    <w:rsid w:val="004D7EDD"/>
    <w:rsid w:val="004E6687"/>
    <w:rsid w:val="004F7057"/>
    <w:rsid w:val="005207B7"/>
    <w:rsid w:val="00532717"/>
    <w:rsid w:val="00537B8F"/>
    <w:rsid w:val="00566A55"/>
    <w:rsid w:val="00574287"/>
    <w:rsid w:val="00596CC3"/>
    <w:rsid w:val="005A1DF2"/>
    <w:rsid w:val="005A5E9D"/>
    <w:rsid w:val="005C2516"/>
    <w:rsid w:val="005D529E"/>
    <w:rsid w:val="005E10B3"/>
    <w:rsid w:val="005E42A6"/>
    <w:rsid w:val="0060039D"/>
    <w:rsid w:val="00623A5A"/>
    <w:rsid w:val="00625391"/>
    <w:rsid w:val="00630F9D"/>
    <w:rsid w:val="00631D96"/>
    <w:rsid w:val="006363A8"/>
    <w:rsid w:val="00645F49"/>
    <w:rsid w:val="00667BC0"/>
    <w:rsid w:val="00693203"/>
    <w:rsid w:val="00693645"/>
    <w:rsid w:val="00695826"/>
    <w:rsid w:val="006A6687"/>
    <w:rsid w:val="006B0ACA"/>
    <w:rsid w:val="006B2D82"/>
    <w:rsid w:val="006B5C98"/>
    <w:rsid w:val="006B772C"/>
    <w:rsid w:val="006B7ADB"/>
    <w:rsid w:val="006C2A57"/>
    <w:rsid w:val="006D4E66"/>
    <w:rsid w:val="00721B70"/>
    <w:rsid w:val="00744C60"/>
    <w:rsid w:val="00746751"/>
    <w:rsid w:val="0075405F"/>
    <w:rsid w:val="00761106"/>
    <w:rsid w:val="00764326"/>
    <w:rsid w:val="00775BF6"/>
    <w:rsid w:val="00790F0C"/>
    <w:rsid w:val="007A0CF4"/>
    <w:rsid w:val="007A4306"/>
    <w:rsid w:val="007A76ED"/>
    <w:rsid w:val="007B09AF"/>
    <w:rsid w:val="007B6D6D"/>
    <w:rsid w:val="007D2310"/>
    <w:rsid w:val="007D3B14"/>
    <w:rsid w:val="007D61C1"/>
    <w:rsid w:val="007D7A2E"/>
    <w:rsid w:val="007E3DFE"/>
    <w:rsid w:val="007F1826"/>
    <w:rsid w:val="007F1BF9"/>
    <w:rsid w:val="0080439C"/>
    <w:rsid w:val="00813106"/>
    <w:rsid w:val="0081657C"/>
    <w:rsid w:val="0082070F"/>
    <w:rsid w:val="00856EEE"/>
    <w:rsid w:val="0086046F"/>
    <w:rsid w:val="00860CBB"/>
    <w:rsid w:val="008615F1"/>
    <w:rsid w:val="008811B1"/>
    <w:rsid w:val="008827B1"/>
    <w:rsid w:val="008948B2"/>
    <w:rsid w:val="008A1B65"/>
    <w:rsid w:val="008D4B36"/>
    <w:rsid w:val="008E5136"/>
    <w:rsid w:val="008E6410"/>
    <w:rsid w:val="008E7083"/>
    <w:rsid w:val="00916411"/>
    <w:rsid w:val="0092219D"/>
    <w:rsid w:val="00922FE5"/>
    <w:rsid w:val="0093529D"/>
    <w:rsid w:val="0093715D"/>
    <w:rsid w:val="009544ED"/>
    <w:rsid w:val="009558D9"/>
    <w:rsid w:val="00972111"/>
    <w:rsid w:val="0098327E"/>
    <w:rsid w:val="00983C62"/>
    <w:rsid w:val="00987F58"/>
    <w:rsid w:val="00993E7B"/>
    <w:rsid w:val="0099487C"/>
    <w:rsid w:val="009963FB"/>
    <w:rsid w:val="00997009"/>
    <w:rsid w:val="009C21C2"/>
    <w:rsid w:val="009E0367"/>
    <w:rsid w:val="009F2923"/>
    <w:rsid w:val="009F4099"/>
    <w:rsid w:val="00A1196A"/>
    <w:rsid w:val="00A161A7"/>
    <w:rsid w:val="00A2288C"/>
    <w:rsid w:val="00A346DF"/>
    <w:rsid w:val="00A65016"/>
    <w:rsid w:val="00A727D4"/>
    <w:rsid w:val="00A942E6"/>
    <w:rsid w:val="00AA2CC5"/>
    <w:rsid w:val="00AB3AD4"/>
    <w:rsid w:val="00AD237C"/>
    <w:rsid w:val="00AD2C69"/>
    <w:rsid w:val="00AE0F49"/>
    <w:rsid w:val="00AE3C36"/>
    <w:rsid w:val="00AF013A"/>
    <w:rsid w:val="00AF7D06"/>
    <w:rsid w:val="00B03EA1"/>
    <w:rsid w:val="00B07764"/>
    <w:rsid w:val="00B079A0"/>
    <w:rsid w:val="00B14368"/>
    <w:rsid w:val="00B4477F"/>
    <w:rsid w:val="00B46FA4"/>
    <w:rsid w:val="00B533F5"/>
    <w:rsid w:val="00B700D0"/>
    <w:rsid w:val="00B722FD"/>
    <w:rsid w:val="00B871BC"/>
    <w:rsid w:val="00C02353"/>
    <w:rsid w:val="00C213B9"/>
    <w:rsid w:val="00C237BB"/>
    <w:rsid w:val="00C26D2C"/>
    <w:rsid w:val="00C4567A"/>
    <w:rsid w:val="00C45EAD"/>
    <w:rsid w:val="00C5172B"/>
    <w:rsid w:val="00C704DB"/>
    <w:rsid w:val="00CD18A9"/>
    <w:rsid w:val="00CD6BC5"/>
    <w:rsid w:val="00CE0551"/>
    <w:rsid w:val="00CE0E20"/>
    <w:rsid w:val="00D037EE"/>
    <w:rsid w:val="00D178E0"/>
    <w:rsid w:val="00D3191A"/>
    <w:rsid w:val="00D32EDC"/>
    <w:rsid w:val="00D35C9D"/>
    <w:rsid w:val="00D46B5C"/>
    <w:rsid w:val="00D62773"/>
    <w:rsid w:val="00D70C7D"/>
    <w:rsid w:val="00D71791"/>
    <w:rsid w:val="00D75D6B"/>
    <w:rsid w:val="00D85994"/>
    <w:rsid w:val="00D95606"/>
    <w:rsid w:val="00D96CAA"/>
    <w:rsid w:val="00DA157B"/>
    <w:rsid w:val="00DA6213"/>
    <w:rsid w:val="00DA766C"/>
    <w:rsid w:val="00DB07B7"/>
    <w:rsid w:val="00DB4BF5"/>
    <w:rsid w:val="00DD0B7D"/>
    <w:rsid w:val="00DD7508"/>
    <w:rsid w:val="00DF1F16"/>
    <w:rsid w:val="00E108B0"/>
    <w:rsid w:val="00E16B0B"/>
    <w:rsid w:val="00E225AC"/>
    <w:rsid w:val="00E30828"/>
    <w:rsid w:val="00E57588"/>
    <w:rsid w:val="00E72D2B"/>
    <w:rsid w:val="00E73181"/>
    <w:rsid w:val="00E861AF"/>
    <w:rsid w:val="00E947AE"/>
    <w:rsid w:val="00EA4254"/>
    <w:rsid w:val="00EC1D83"/>
    <w:rsid w:val="00ED5289"/>
    <w:rsid w:val="00EF67B6"/>
    <w:rsid w:val="00F05631"/>
    <w:rsid w:val="00F307EA"/>
    <w:rsid w:val="00F44F4E"/>
    <w:rsid w:val="00F4612C"/>
    <w:rsid w:val="00F63B8E"/>
    <w:rsid w:val="00F900E9"/>
    <w:rsid w:val="00F940CA"/>
    <w:rsid w:val="00FA2CF6"/>
    <w:rsid w:val="00FC5643"/>
    <w:rsid w:val="00FE658A"/>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text"/>
    <w:basedOn w:val="Normal"/>
    <w:rsid w:val="001D34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347D"/>
    <w:rPr>
      <w:color w:val="0000FF"/>
      <w:u w:val="single"/>
    </w:rPr>
  </w:style>
  <w:style w:type="character" w:customStyle="1" w:styleId="apple-converted-space">
    <w:name w:val="apple-converted-space"/>
    <w:basedOn w:val="DefaultParagraphFont"/>
    <w:rsid w:val="001D347D"/>
  </w:style>
  <w:style w:type="paragraph" w:styleId="BalloonText">
    <w:name w:val="Balloon Text"/>
    <w:basedOn w:val="Normal"/>
    <w:link w:val="BalloonTextChar"/>
    <w:uiPriority w:val="99"/>
    <w:semiHidden/>
    <w:unhideWhenUsed/>
    <w:rsid w:val="001D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47D"/>
    <w:rPr>
      <w:rFonts w:ascii="Tahoma" w:hAnsi="Tahoma" w:cs="Tahoma"/>
      <w:sz w:val="16"/>
      <w:szCs w:val="16"/>
    </w:rPr>
  </w:style>
  <w:style w:type="character" w:styleId="Strong">
    <w:name w:val="Strong"/>
    <w:basedOn w:val="DefaultParagraphFont"/>
    <w:uiPriority w:val="22"/>
    <w:qFormat/>
    <w:rsid w:val="001D347D"/>
    <w:rPr>
      <w:b/>
      <w:bCs/>
    </w:rPr>
  </w:style>
  <w:style w:type="character" w:styleId="FollowedHyperlink">
    <w:name w:val="FollowedHyperlink"/>
    <w:basedOn w:val="DefaultParagraphFont"/>
    <w:uiPriority w:val="99"/>
    <w:semiHidden/>
    <w:unhideWhenUsed/>
    <w:rsid w:val="004558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text"/>
    <w:basedOn w:val="Normal"/>
    <w:rsid w:val="001D34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347D"/>
    <w:rPr>
      <w:color w:val="0000FF"/>
      <w:u w:val="single"/>
    </w:rPr>
  </w:style>
  <w:style w:type="character" w:customStyle="1" w:styleId="apple-converted-space">
    <w:name w:val="apple-converted-space"/>
    <w:basedOn w:val="DefaultParagraphFont"/>
    <w:rsid w:val="001D347D"/>
  </w:style>
  <w:style w:type="paragraph" w:styleId="BalloonText">
    <w:name w:val="Balloon Text"/>
    <w:basedOn w:val="Normal"/>
    <w:link w:val="BalloonTextChar"/>
    <w:uiPriority w:val="99"/>
    <w:semiHidden/>
    <w:unhideWhenUsed/>
    <w:rsid w:val="001D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47D"/>
    <w:rPr>
      <w:rFonts w:ascii="Tahoma" w:hAnsi="Tahoma" w:cs="Tahoma"/>
      <w:sz w:val="16"/>
      <w:szCs w:val="16"/>
    </w:rPr>
  </w:style>
  <w:style w:type="character" w:styleId="Strong">
    <w:name w:val="Strong"/>
    <w:basedOn w:val="DefaultParagraphFont"/>
    <w:uiPriority w:val="22"/>
    <w:qFormat/>
    <w:rsid w:val="001D347D"/>
    <w:rPr>
      <w:b/>
      <w:bCs/>
    </w:rPr>
  </w:style>
  <w:style w:type="character" w:styleId="FollowedHyperlink">
    <w:name w:val="FollowedHyperlink"/>
    <w:basedOn w:val="DefaultParagraphFont"/>
    <w:uiPriority w:val="99"/>
    <w:semiHidden/>
    <w:unhideWhenUsed/>
    <w:rsid w:val="004558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3832">
      <w:bodyDiv w:val="1"/>
      <w:marLeft w:val="0"/>
      <w:marRight w:val="0"/>
      <w:marTop w:val="0"/>
      <w:marBottom w:val="0"/>
      <w:divBdr>
        <w:top w:val="none" w:sz="0" w:space="0" w:color="auto"/>
        <w:left w:val="none" w:sz="0" w:space="0" w:color="auto"/>
        <w:bottom w:val="none" w:sz="0" w:space="0" w:color="auto"/>
        <w:right w:val="none" w:sz="0" w:space="0" w:color="auto"/>
      </w:divBdr>
      <w:divsChild>
        <w:div w:id="739996">
          <w:marLeft w:val="0"/>
          <w:marRight w:val="0"/>
          <w:marTop w:val="240"/>
          <w:marBottom w:val="240"/>
          <w:divBdr>
            <w:top w:val="none" w:sz="0" w:space="0" w:color="auto"/>
            <w:left w:val="none" w:sz="0" w:space="0" w:color="auto"/>
            <w:bottom w:val="none" w:sz="0" w:space="0" w:color="auto"/>
            <w:right w:val="none" w:sz="0" w:space="0" w:color="auto"/>
          </w:divBdr>
        </w:div>
        <w:div w:id="1151563187">
          <w:marLeft w:val="0"/>
          <w:marRight w:val="0"/>
          <w:marTop w:val="240"/>
          <w:marBottom w:val="0"/>
          <w:divBdr>
            <w:top w:val="none" w:sz="0" w:space="0" w:color="auto"/>
            <w:left w:val="none" w:sz="0" w:space="0" w:color="auto"/>
            <w:bottom w:val="none" w:sz="0" w:space="0" w:color="auto"/>
            <w:right w:val="none" w:sz="0" w:space="0" w:color="auto"/>
          </w:divBdr>
          <w:divsChild>
            <w:div w:id="133959569">
              <w:marLeft w:val="0"/>
              <w:marRight w:val="0"/>
              <w:marTop w:val="0"/>
              <w:marBottom w:val="0"/>
              <w:divBdr>
                <w:top w:val="none" w:sz="0" w:space="0" w:color="auto"/>
                <w:left w:val="none" w:sz="0" w:space="0" w:color="auto"/>
                <w:bottom w:val="none" w:sz="0" w:space="0" w:color="auto"/>
                <w:right w:val="none" w:sz="0" w:space="0" w:color="auto"/>
              </w:divBdr>
              <w:divsChild>
                <w:div w:id="1908807865">
                  <w:marLeft w:val="0"/>
                  <w:marRight w:val="0"/>
                  <w:marTop w:val="0"/>
                  <w:marBottom w:val="0"/>
                  <w:divBdr>
                    <w:top w:val="none" w:sz="0" w:space="0" w:color="auto"/>
                    <w:left w:val="none" w:sz="0" w:space="0" w:color="auto"/>
                    <w:bottom w:val="none" w:sz="0" w:space="0" w:color="auto"/>
                    <w:right w:val="none" w:sz="0" w:space="0" w:color="auto"/>
                  </w:divBdr>
                  <w:divsChild>
                    <w:div w:id="16659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35611">
      <w:bodyDiv w:val="1"/>
      <w:marLeft w:val="0"/>
      <w:marRight w:val="0"/>
      <w:marTop w:val="0"/>
      <w:marBottom w:val="0"/>
      <w:divBdr>
        <w:top w:val="none" w:sz="0" w:space="0" w:color="auto"/>
        <w:left w:val="none" w:sz="0" w:space="0" w:color="auto"/>
        <w:bottom w:val="none" w:sz="0" w:space="0" w:color="auto"/>
        <w:right w:val="none" w:sz="0" w:space="0" w:color="auto"/>
      </w:divBdr>
    </w:div>
    <w:div w:id="20431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1942200607&amp;pubNum=0000708&amp;originatingDoc=N9E5AB8409DFA11D8A63DAA9EBCE8FE5A&amp;refType=RP&amp;originationContext=notesOfDecisions&amp;contextData=%28sc.Search%29&amp;transitionType=NotesOfDecisionItem" TargetMode="External"/><Relationship Id="rId13" Type="http://schemas.openxmlformats.org/officeDocument/2006/relationships/hyperlink" Target="https://1.next.westlaw.com/Browse/Home/KeyNumber/361/View.html?docGuid=N9E5AB8409DFA11D8A63DAA9EBCE8FE5A&amp;originationContext=notesOfDecisions&amp;contextData=%28sc.Search%29&amp;transitionType=NotesOfDecisionItem" TargetMode="External"/><Relationship Id="rId18" Type="http://schemas.openxmlformats.org/officeDocument/2006/relationships/hyperlink" Target="https://1.next.westlaw.com/Link/Document/FullText?findType=Y&amp;serNum=1951117744&amp;pubNum=0000708&amp;originatingDoc=N9E5AB8409DFA11D8A63DAA9EBCE8FE5A&amp;refType=RP&amp;originationContext=notesOfDecisions&amp;contextData=%28sc.Search%29&amp;transitionType=NotesOfDecisionItem" TargetMode="External"/><Relationship Id="rId26" Type="http://schemas.openxmlformats.org/officeDocument/2006/relationships/hyperlink" Target="https://1.next.westlaw.com/Browse/Home/KeyNumber/360/View.html?docGuid=N9E5AB8409DFA11D8A63DAA9EBCE8FE5A&amp;originationContext=notesOfDecisions&amp;contextData=%28sc.Search%29&amp;transitionType=NotesOfDecisionItem" TargetMode="External"/><Relationship Id="rId39" Type="http://schemas.openxmlformats.org/officeDocument/2006/relationships/hyperlink" Target="https://1.next.westlaw.com/Browse/Home/KeyNumber/360/View.html?docGuid=N9E5AB8409DFA11D8A63DAA9EBCE8FE5A&amp;originationContext=notesOfDecisions&amp;contextData=%28sc.Search%29&amp;transitionType=NotesOfDecisionItem" TargetMode="External"/><Relationship Id="rId3" Type="http://schemas.openxmlformats.org/officeDocument/2006/relationships/settings" Target="settings.xml"/><Relationship Id="rId21" Type="http://schemas.openxmlformats.org/officeDocument/2006/relationships/hyperlink" Target="https://1.next.westlaw.com/Link/Document/FullText?findType=Y&amp;serNum=1944201293&amp;pubNum=0000708&amp;originatingDoc=N9E5AB8409DFA11D8A63DAA9EBCE8FE5A&amp;refType=RP&amp;originationContext=notesOfDecisions&amp;contextData=%28sc.Search%29&amp;transitionType=NotesOfDecisionItem" TargetMode="External"/><Relationship Id="rId34" Type="http://schemas.openxmlformats.org/officeDocument/2006/relationships/hyperlink" Target="https://1.next.westlaw.com/Browse/Home/KeyNumber/106k8/View.html?docGuid=N9E5AB8409DFA11D8A63DAA9EBCE8FE5A&amp;originationContext=notesOfDecisions&amp;contextData=%28sc.Search%29&amp;transitionType=NotesOfDecisionItem" TargetMode="External"/><Relationship Id="rId42" Type="http://schemas.openxmlformats.org/officeDocument/2006/relationships/theme" Target="theme/theme1.xml"/><Relationship Id="rId7" Type="http://schemas.openxmlformats.org/officeDocument/2006/relationships/hyperlink" Target="https://1.next.westlaw.com/Link/Document/FullText?findType=Y&amp;serNum=1941124504&amp;pubNum=0000708&amp;originatingDoc=N9E5AB8409DFA11D8A63DAA9EBCE8FE5A&amp;refType=RP&amp;originationContext=notesOfDecisions&amp;contextData=%28sc.Search%29&amp;transitionType=NotesOfDecisionItem" TargetMode="External"/><Relationship Id="rId12" Type="http://schemas.openxmlformats.org/officeDocument/2006/relationships/hyperlink" Target="https://1.next.westlaw.com/Link/Document/FullText?findType=Y&amp;serNum=1975106898&amp;pubNum=0000345&amp;originatingDoc=N9E5AB8409DFA11D8A63DAA9EBCE8FE5A&amp;refType=RP&amp;originationContext=notesOfDecisions&amp;contextData=%28sc.Search%29&amp;transitionType=NotesOfDecisionItem" TargetMode="External"/><Relationship Id="rId17" Type="http://schemas.openxmlformats.org/officeDocument/2006/relationships/hyperlink" Target="https://1.next.westlaw.com/Browse/Home/KeyNumber/360k5(2)/View.html?docGuid=N9E5AB8409DFA11D8A63DAA9EBCE8FE5A&amp;originationContext=notesOfDecisions&amp;contextData=%28sc.Search%29&amp;transitionType=NotesOfDecisionItem" TargetMode="External"/><Relationship Id="rId25" Type="http://schemas.openxmlformats.org/officeDocument/2006/relationships/hyperlink" Target="https://1.next.westlaw.com/Link/Document/FullText?findType=Y&amp;serNum=1939126140&amp;pubNum=0000708&amp;originatingDoc=N9E5AB8409DFA11D8A63DAA9EBCE8FE5A&amp;refType=RP&amp;originationContext=notesOfDecisions&amp;contextData=%28sc.Search%29&amp;transitionType=NotesOfDecisionItem" TargetMode="External"/><Relationship Id="rId33" Type="http://schemas.openxmlformats.org/officeDocument/2006/relationships/hyperlink" Target="https://1.next.westlaw.com/Browse/Home/KeyNumber/106/View.html?docGuid=N9E5AB8409DFA11D8A63DAA9EBCE8FE5A&amp;originationContext=notesOfDecisions&amp;contextData=%28sc.Search%29&amp;transitionType=NotesOfDecisionItem" TargetMode="External"/><Relationship Id="rId38" Type="http://schemas.openxmlformats.org/officeDocument/2006/relationships/hyperlink" Target="https://1.next.westlaw.com/Link/Document/FullText?findType=Y&amp;serNum=1955200011&amp;pubNum=0000708&amp;originatingDoc=N9E5AB8409DFA11D8A63DAA9EBCE8FE5A&amp;refType=RP&amp;originationContext=notesOfDecisions&amp;contextData=%28sc.Search%29&amp;transitionType=NotesOfDecisionItem" TargetMode="External"/><Relationship Id="rId2" Type="http://schemas.microsoft.com/office/2007/relationships/stylesWithEffects" Target="stylesWithEffects.xml"/><Relationship Id="rId16" Type="http://schemas.openxmlformats.org/officeDocument/2006/relationships/hyperlink" Target="https://1.next.westlaw.com/Browse/Home/KeyNumber/360/View.html?docGuid=N9E5AB8409DFA11D8A63DAA9EBCE8FE5A&amp;originationContext=notesOfDecisions&amp;contextData=%28sc.Search%29&amp;transitionType=NotesOfDecisionItem" TargetMode="External"/><Relationship Id="rId20" Type="http://schemas.openxmlformats.org/officeDocument/2006/relationships/hyperlink" Target="https://1.next.westlaw.com/Browse/Home/KeyNumber/360k5(2)/View.html?docGuid=N9E5AB8409DFA11D8A63DAA9EBCE8FE5A&amp;originationContext=notesOfDecisions&amp;contextData=%28sc.Search%29&amp;transitionType=NotesOfDecisionItem" TargetMode="External"/><Relationship Id="rId29" Type="http://schemas.openxmlformats.org/officeDocument/2006/relationships/hyperlink" Target="https://1.next.westlaw.com/Browse/Home/KeyNumber/360/View.html?docGuid=N9E5AB8409DFA11D8A63DAA9EBCE8FE5A&amp;originationContext=notesOfDecisions&amp;contextData=%28sc.Search%29&amp;transitionType=NotesOfDecisionIte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next.westlaw.com/Link/Document/FullText?findType=Y&amp;serNum=1943120198&amp;pubNum=0000350&amp;originatingDoc=N9E5AB8409DFA11D8A63DAA9EBCE8FE5A&amp;refType=RP&amp;originationContext=notesOfDecisions&amp;contextData=%28sc.Search%29&amp;transitionType=NotesOfDecisionItem" TargetMode="External"/><Relationship Id="rId11" Type="http://schemas.openxmlformats.org/officeDocument/2006/relationships/hyperlink" Target="https://1.next.westlaw.com/Browse/Home/KeyNumber/360k5(2)/View.html?docGuid=N9E5AB8409DFA11D8A63DAA9EBCE8FE5A&amp;originationContext=notesOfDecisions&amp;contextData=%28sc.Search%29&amp;transitionType=NotesOfDecisionItem" TargetMode="External"/><Relationship Id="rId24" Type="http://schemas.openxmlformats.org/officeDocument/2006/relationships/hyperlink" Target="https://1.next.westlaw.com/Link/Document/FullText?findType=Y&amp;serNum=1944200508&amp;pubNum=0000708&amp;originatingDoc=N9E5AB8409DFA11D8A63DAA9EBCE8FE5A&amp;refType=RP&amp;originationContext=notesOfDecisions&amp;contextData=%28sc.Search%29&amp;transitionType=NotesOfDecisionItem" TargetMode="External"/><Relationship Id="rId32" Type="http://schemas.openxmlformats.org/officeDocument/2006/relationships/hyperlink" Target="https://1.next.westlaw.com/Link/Document/FullText?findType=Y&amp;serNum=1942200457&amp;pubNum=0000708&amp;originatingDoc=N9E5AB8409DFA11D8A63DAA9EBCE8FE5A&amp;refType=RP&amp;originationContext=notesOfDecisions&amp;contextData=%28sc.Search%29&amp;transitionType=NotesOfDecisionItem" TargetMode="External"/><Relationship Id="rId37" Type="http://schemas.openxmlformats.org/officeDocument/2006/relationships/hyperlink" Target="https://1.next.westlaw.com/Link/Document/FullText?findType=Y&amp;serNum=1954121389&amp;pubNum=0000708&amp;originatingDoc=N9E5AB8409DFA11D8A63DAA9EBCE8FE5A&amp;refType=RP&amp;originationContext=notesOfDecisions&amp;contextData=%28sc.Search%29&amp;transitionType=NotesOfDecisionItem" TargetMode="External"/><Relationship Id="rId40" Type="http://schemas.openxmlformats.org/officeDocument/2006/relationships/hyperlink" Target="https://1.next.westlaw.com/Browse/Home/KeyNumber/360k5(2)/View.html?docGuid=N9E5AB8409DFA11D8A63DAA9EBCE8FE5A&amp;originationContext=notesOfDecisions&amp;contextData=%28sc.Search%29&amp;transitionType=NotesOfDecisionItem" TargetMode="External"/><Relationship Id="rId5" Type="http://schemas.openxmlformats.org/officeDocument/2006/relationships/hyperlink" Target="http://www.nass.org/nass-initiatives/nass-remote-notarization-task-force/" TargetMode="External"/><Relationship Id="rId15" Type="http://schemas.openxmlformats.org/officeDocument/2006/relationships/hyperlink" Target="https://1.next.westlaw.com/Link/Document/FullText?findType=Y&amp;serNum=2038691269&amp;pubNum=0000708&amp;originatingDoc=N9E5AB8409DFA11D8A63DAA9EBCE8FE5A&amp;refType=RP&amp;originationContext=notesOfDecisions&amp;contextData=%28sc.Search%29&amp;transitionType=NotesOfDecisionItem" TargetMode="External"/><Relationship Id="rId23" Type="http://schemas.openxmlformats.org/officeDocument/2006/relationships/hyperlink" Target="https://1.next.westlaw.com/Link/Document/FullText?findType=Y&amp;serNum=1943121212&amp;pubNum=0000708&amp;originatingDoc=N9E5AB8409DFA11D8A63DAA9EBCE8FE5A&amp;refType=RP&amp;originationContext=notesOfDecisions&amp;contextData=%28sc.Search%29&amp;transitionType=NotesOfDecisionItem" TargetMode="External"/><Relationship Id="rId28" Type="http://schemas.openxmlformats.org/officeDocument/2006/relationships/hyperlink" Target="https://1.next.westlaw.com/Link/Document/FullText?findType=Y&amp;serNum=1942123331&amp;pubNum=0000708&amp;originatingDoc=N9E5AB8409DFA11D8A63DAA9EBCE8FE5A&amp;refType=RP&amp;originationContext=notesOfDecisions&amp;contextData=%28sc.Search%29&amp;transitionType=NotesOfDecisionItem" TargetMode="External"/><Relationship Id="rId36" Type="http://schemas.openxmlformats.org/officeDocument/2006/relationships/hyperlink" Target="https://1.next.westlaw.com/Browse/Home/KeyNumber/360k5(1)/View.html?docGuid=N9E5AB8409DFA11D8A63DAA9EBCE8FE5A&amp;originationContext=notesOfDecisions&amp;contextData=%28sc.Search%29&amp;transitionType=NotesOfDecisionItem" TargetMode="External"/><Relationship Id="rId10" Type="http://schemas.openxmlformats.org/officeDocument/2006/relationships/image" Target="media/image1.gif"/><Relationship Id="rId19" Type="http://schemas.openxmlformats.org/officeDocument/2006/relationships/hyperlink" Target="https://1.next.westlaw.com/Browse/Home/KeyNumber/360/View.html?docGuid=N9E5AB8409DFA11D8A63DAA9EBCE8FE5A&amp;originationContext=notesOfDecisions&amp;contextData=%28sc.Search%29&amp;transitionType=NotesOfDecisionItem" TargetMode="External"/><Relationship Id="rId31" Type="http://schemas.openxmlformats.org/officeDocument/2006/relationships/hyperlink" Target="https://1.next.westlaw.com/Link/Document/FullText?findType=Y&amp;serNum=1941124810&amp;pubNum=0000708&amp;originatingDoc=N9E5AB8409DFA11D8A63DAA9EBCE8FE5A&amp;refType=RP&amp;originationContext=notesOfDecisions&amp;contextData=%28sc.Search%29&amp;transitionType=NotesOfDecisionItem" TargetMode="External"/><Relationship Id="rId4" Type="http://schemas.openxmlformats.org/officeDocument/2006/relationships/webSettings" Target="webSettings.xml"/><Relationship Id="rId9" Type="http://schemas.openxmlformats.org/officeDocument/2006/relationships/hyperlink" Target="https://1.next.westlaw.com/Browse/Home/KeyNumber/360/View.html?docGuid=N9E5AB8409DFA11D8A63DAA9EBCE8FE5A&amp;originationContext=notesOfDecisions&amp;contextData=%28sc.Search%29&amp;transitionType=NotesOfDecisionItem" TargetMode="External"/><Relationship Id="rId14" Type="http://schemas.openxmlformats.org/officeDocument/2006/relationships/hyperlink" Target="https://1.next.westlaw.com/Browse/Home/KeyNumber/361k1415/View.html?docGuid=N9E5AB8409DFA11D8A63DAA9EBCE8FE5A&amp;originationContext=notesOfDecisions&amp;contextData=%28sc.Search%29&amp;transitionType=NotesOfDecisionItem" TargetMode="External"/><Relationship Id="rId22" Type="http://schemas.openxmlformats.org/officeDocument/2006/relationships/hyperlink" Target="https://1.next.westlaw.com/Link/Document/FullText?findType=Y&amp;serNum=1939126140&amp;pubNum=0000708&amp;originatingDoc=N9E5AB8409DFA11D8A63DAA9EBCE8FE5A&amp;refType=RP&amp;originationContext=notesOfDecisions&amp;contextData=%28sc.Search%29&amp;transitionType=NotesOfDecisionItem" TargetMode="External"/><Relationship Id="rId27" Type="http://schemas.openxmlformats.org/officeDocument/2006/relationships/hyperlink" Target="https://1.next.westlaw.com/Browse/Home/KeyNumber/360k5(2)/View.html?docGuid=N9E5AB8409DFA11D8A63DAA9EBCE8FE5A&amp;originationContext=notesOfDecisions&amp;contextData=%28sc.Search%29&amp;transitionType=NotesOfDecisionItem" TargetMode="External"/><Relationship Id="rId30" Type="http://schemas.openxmlformats.org/officeDocument/2006/relationships/hyperlink" Target="https://1.next.westlaw.com/Browse/Home/KeyNumber/360k5(2)/View.html?docGuid=N9E5AB8409DFA11D8A63DAA9EBCE8FE5A&amp;originationContext=notesOfDecisions&amp;contextData=%28sc.Search%29&amp;transitionType=NotesOfDecisionItem" TargetMode="External"/><Relationship Id="rId35" Type="http://schemas.openxmlformats.org/officeDocument/2006/relationships/hyperlink" Target="https://1.next.westlaw.com/Browse/Home/KeyNumber/360/View.html?docGuid=N9E5AB8409DFA11D8A63DAA9EBCE8FE5A&amp;originationContext=notesOfDecisions&amp;contextData=%28sc.Search%29&amp;transitionType=NotesOfDecisionI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3</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Fields</dc:creator>
  <cp:lastModifiedBy>Alan Fields</cp:lastModifiedBy>
  <cp:revision>2</cp:revision>
  <dcterms:created xsi:type="dcterms:W3CDTF">2016-07-15T00:25:00Z</dcterms:created>
  <dcterms:modified xsi:type="dcterms:W3CDTF">2016-07-25T02:11:00Z</dcterms:modified>
</cp:coreProperties>
</file>